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ПРИЕМО-ПРЕДАВАТЕЛЕН ПРОТОКОЛ</w:t>
        <w:br/>
        <w:t>ПРИ ПРОДАЖБА НА НЕДВИЖИМ ИМОТ</w:t>
      </w:r>
    </w:p>
    <w:p>
      <w:pPr>
        <w:pStyle w:val="Formlabel"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Дата: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</w:t>
      </w:r>
      <w:r>
        <w:rPr>
          <w:rFonts w:ascii="Times New Roman" w:hAnsi="Times New Roman" w:eastAsia="Times New Roman" w:cs="Times New Roman"/>
          <w:color w:val="111111"/>
          <w:sz w:val="23"/>
        </w:rPr>
        <w:t xml:space="preserve">    Място: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</w:t>
      </w:r>
    </w:p>
    <w:p>
      <w:pPr>
        <w:pStyle w:val="Formlabel"/>
        <w:keepNext w:val="0"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Точен час: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</w:t>
      </w:r>
    </w:p>
    <w:p>
      <w:pPr>
        <w:pStyle w:val="Heading1"/>
        <w:pageBreakBefore w:val="0"/>
      </w:pPr>
      <w:r>
        <w:t>I. ОСНОВАНИЕ - ДАННИ ЗА ВЕЧЕ СКЛЮЧЕНАТА СДЕЛКА</w:t>
      </w:r>
    </w:p>
    <w:p>
      <w:pPr>
        <w:pStyle w:val="Formlabel"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Нотариален акт №: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</w:t>
      </w:r>
      <w:r>
        <w:rPr>
          <w:rFonts w:ascii="Times New Roman" w:hAnsi="Times New Roman" w:eastAsia="Times New Roman" w:cs="Times New Roman"/>
          <w:color w:val="111111"/>
          <w:sz w:val="23"/>
        </w:rPr>
        <w:t xml:space="preserve">    Том: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</w:t>
      </w:r>
    </w:p>
    <w:p>
      <w:pPr>
        <w:pStyle w:val="Formlabel"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Регистър №: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</w:t>
      </w:r>
      <w:r>
        <w:rPr>
          <w:rFonts w:ascii="Times New Roman" w:hAnsi="Times New Roman" w:eastAsia="Times New Roman" w:cs="Times New Roman"/>
          <w:color w:val="111111"/>
          <w:sz w:val="23"/>
        </w:rPr>
        <w:t xml:space="preserve">    Нотариално дело №/година: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</w:t>
      </w:r>
    </w:p>
    <w:p>
      <w:pPr>
        <w:pStyle w:val="Formlabel"/>
        <w:keepNext w:val="0"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Дата на нотариалния акт: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</w:t>
      </w:r>
    </w:p>
    <w:p>
      <w:pPr>
        <w:pStyle w:val="Formlabel"/>
        <w:keepNext w:val="0"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Нотариус - име, рег. № и район: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</w:t>
      </w:r>
    </w:p>
    <w:p>
      <w:pPr>
        <w:pStyle w:val="Formlabel"/>
        <w:keepNext w:val="0"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Данни за вписването, когато са налични: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</w:t>
      </w:r>
    </w:p>
    <w:p>
      <w:pPr>
        <w:pStyle w:val="Heading1"/>
        <w:pageBreakBefore w:val="0"/>
      </w:pPr>
      <w:r>
        <w:t>II. СТРАНИ И ИМОТ</w:t>
      </w:r>
    </w:p>
    <w:p>
      <w:pPr>
        <w:pStyle w:val="Heading2"/>
        <w:keepNext/>
        <w:keepLines/>
      </w:pPr>
      <w:r>
        <w:t>ПРОДАВАЧ/ПРЕДАВАЩ № 1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Три имена/наименование: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ЕГН/ЛНЧ/ЕИК/БУЛСТАТ: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</w:t>
      </w:r>
      <w:r>
        <w:rPr>
          <w:rFonts w:ascii="Times New Roman" w:hAnsi="Times New Roman" w:eastAsia="Times New Roman" w:cs="Times New Roman"/>
          <w:color w:val="111111"/>
          <w:sz w:val="23"/>
        </w:rPr>
        <w:t xml:space="preserve">    Телефон: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Постоянен адрес/седалище и адрес за контакт: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Документ за самоличност/регистрационни данни: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Представител - имена и качество: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Точно основание и документ за представителната власт: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 w:val="0"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Електронна поща: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</w:t>
      </w:r>
    </w:p>
    <w:p>
      <w:pPr>
        <w:pStyle w:val="Heading2"/>
        <w:keepNext/>
        <w:keepLines/>
      </w:pPr>
      <w:r>
        <w:t>ПРОДАВАЧ/ПРЕДАВАЩ № 2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Три имена/наименование: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ЕГН/ЛНЧ/ЕИК/БУЛСТАТ: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</w:t>
      </w:r>
      <w:r>
        <w:rPr>
          <w:rFonts w:ascii="Times New Roman" w:hAnsi="Times New Roman" w:eastAsia="Times New Roman" w:cs="Times New Roman"/>
          <w:color w:val="111111"/>
          <w:sz w:val="23"/>
        </w:rPr>
        <w:t xml:space="preserve">    Телефон: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Постоянен адрес/седалище и адрес за контакт: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Документ за самоличност/регистрационни данни: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Представител - имена и качество: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Точно основание и документ за представителната власт: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 w:val="0"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Електронна поща: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</w:t>
      </w:r>
    </w:p>
    <w:p>
      <w:pPr>
        <w:pStyle w:val="Heading2"/>
        <w:keepNext/>
        <w:keepLines/>
      </w:pPr>
      <w:r>
        <w:t>КУПУВАЧ/ПРИЕМАЩ № 1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Три имена/наименование: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ЕГН/ЛНЧ/ЕИК/БУЛСТАТ: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</w:t>
      </w:r>
      <w:r>
        <w:rPr>
          <w:rFonts w:ascii="Times New Roman" w:hAnsi="Times New Roman" w:eastAsia="Times New Roman" w:cs="Times New Roman"/>
          <w:color w:val="111111"/>
          <w:sz w:val="23"/>
        </w:rPr>
        <w:t xml:space="preserve">    Телефон: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Постоянен адрес/седалище и адрес за контакт: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Документ за самоличност/регистрационни данни: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Представител - имена и качество: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Точно основание и документ за представителната власт: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 w:val="0"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Електронна поща: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</w:t>
      </w:r>
    </w:p>
    <w:p>
      <w:pPr>
        <w:pStyle w:val="Heading2"/>
        <w:keepNext/>
        <w:keepLines/>
      </w:pPr>
      <w:r>
        <w:t>КУПУВАЧ/ПРИЕМАЩ № 2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Три имена/наименование: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ЕГН/ЛНЧ/ЕИК/БУЛСТАТ: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</w:t>
      </w:r>
      <w:r>
        <w:rPr>
          <w:rFonts w:ascii="Times New Roman" w:hAnsi="Times New Roman" w:eastAsia="Times New Roman" w:cs="Times New Roman"/>
          <w:color w:val="111111"/>
          <w:sz w:val="23"/>
        </w:rPr>
        <w:t xml:space="preserve">    Телефон: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Постоянен адрес/седалище и адрес за контакт: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Документ за самоличност/регистрационни данни: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Представител - имена и качество: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Точно основание и документ за представителната власт: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 w:val="0"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Електронна поща: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</w:t>
      </w:r>
    </w:p>
    <w:p>
      <w:pPr>
        <w:pStyle w:val="Formlabel"/>
        <w:keepNext/>
      </w:pPr>
      <w:r>
        <w:rPr>
          <w:rFonts w:ascii="Times New Roman" w:hAnsi="Times New Roman" w:eastAsia="Times New Roman" w:cs="Times New Roman"/>
          <w:color w:val="111111"/>
          <w:sz w:val="23"/>
        </w:rPr>
        <w:t>Имот - точен адрес, кадастрален идентификатор и принадлежности: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Фактическо предаване - дата: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</w:t>
      </w:r>
      <w:r>
        <w:rPr>
          <w:rFonts w:ascii="Times New Roman" w:hAnsi="Times New Roman" w:eastAsia="Times New Roman" w:cs="Times New Roman"/>
          <w:color w:val="111111"/>
          <w:sz w:val="23"/>
        </w:rPr>
        <w:t xml:space="preserve">    Точен час: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</w:t>
      </w:r>
    </w:p>
    <w:p>
      <w:pPr>
        <w:pStyle w:val="Heading1"/>
        <w:pageBreakBefore w:val="0"/>
      </w:pPr>
      <w:r>
        <w:t>III. ВЛАДЕНИЕ, ОБИТАТЕЛИ И СЪСТОЯНИЕ</w:t>
      </w:r>
    </w:p>
    <w:p>
      <w:pPr>
        <w:keepNext w:val="0"/>
        <w:keepLines w:val="0"/>
        <w:jc w:val="left"/>
      </w:pPr>
      <w:r>
        <w:rPr>
          <w:rFonts w:ascii="Times New Roman" w:hAnsi="Times New Roman" w:eastAsia="Times New Roman" w:cs="Times New Roman"/>
          <w:b/>
          <w:color w:val="111111"/>
          <w:sz w:val="23"/>
        </w:rPr>
        <w:t xml:space="preserve">Чл. 1. </w:t>
      </w:r>
      <w:r>
        <w:rPr>
          <w:rFonts w:ascii="Times New Roman" w:hAnsi="Times New Roman" w:eastAsia="Times New Roman" w:cs="Times New Roman"/>
          <w:color w:val="111111"/>
          <w:sz w:val="23"/>
        </w:rPr>
        <w:t>На посочените дата и час Продавачът/Предаващият предаде, а Купувачът/Приемащият прие фактическото владение върху имота, освен изрично описаното по-долу.</w:t>
      </w:r>
    </w:p>
    <w:p>
      <w:pPr>
        <w:pStyle w:val="Formlabel"/>
        <w:keepNext/>
      </w:pPr>
      <w:r>
        <w:rPr>
          <w:rFonts w:ascii="Times New Roman" w:hAnsi="Times New Roman" w:eastAsia="Times New Roman" w:cs="Times New Roman"/>
          <w:color w:val="111111"/>
          <w:sz w:val="23"/>
        </w:rPr>
        <w:t>Оставащи обитатели/държатели - имена, правно основание, част от имота и краен срок: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</w:pPr>
      <w:r>
        <w:rPr>
          <w:rFonts w:ascii="Times New Roman" w:hAnsi="Times New Roman" w:eastAsia="Times New Roman" w:cs="Times New Roman"/>
          <w:color w:val="111111"/>
          <w:sz w:val="23"/>
        </w:rPr>
        <w:t>Видимо състояние на имота при предаването: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</w:pPr>
      <w:r>
        <w:rPr>
          <w:rFonts w:ascii="Times New Roman" w:hAnsi="Times New Roman" w:eastAsia="Times New Roman" w:cs="Times New Roman"/>
          <w:color w:val="111111"/>
          <w:sz w:val="23"/>
        </w:rPr>
        <w:t>Дефекти/незавършени работи - действие, отговорно лице и срок: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Heading1"/>
        <w:pageBreakBefore w:val="0"/>
      </w:pPr>
      <w:r>
        <w:t>IV. КЛЮЧОВЕ И СРЕДСТВА ЗА ДОСТЪП</w:t>
      </w:r>
    </w:p>
    <w:tbl>
      <w:tblPr>
        <w:tblW w:type="dxa" w:w="9072"/>
        <w:jc w:val="left"/>
        <w:tblLayout w:type="fixed"/>
        <w:tblLook w:firstColumn="1" w:firstRow="1" w:lastColumn="0" w:lastRow="0" w:noHBand="0" w:noVBand="1" w:val="04A0"/>
        <w:tblInd w:w="0" w:type="dxa"/>
        <w:tblCellMar>
          <w:top w:w="105" w:type="dxa"/>
          <w:start w:w="120" w:type="dxa"/>
          <w:bottom w:w="105" w:type="dxa"/>
          <w:end w:w="120" w:type="dxa"/>
        </w:tblCellMar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single" w:sz="6" w:space="0" w:color="333333"/>
          <w:insideV w:val="single" w:sz="6" w:space="0" w:color="333333"/>
        </w:tblBorders>
      </w:tblPr>
      <w:tblGrid>
        <w:gridCol w:w="2600"/>
        <w:gridCol w:w="900"/>
        <w:gridCol w:w="2350"/>
        <w:gridCol w:w="3222"/>
      </w:tblGrid>
      <w:tr>
        <w:trPr>
          <w:trHeight w:val="510" w:hRule="atLeast"/>
          <w:tblHeader w:val="1"/>
          <w:cantSplit w:val="1"/>
        </w:trPr>
        <w:tc>
          <w:tcPr>
            <w:tcW w:type="dxa" w:w="2600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21"/>
              </w:rPr>
              <w:t>Вид</w:t>
            </w:r>
          </w:p>
        </w:tc>
        <w:tc>
          <w:tcPr>
            <w:tcW w:type="dxa" w:w="900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21"/>
              </w:rPr>
              <w:t>Брой</w:t>
            </w:r>
          </w:p>
        </w:tc>
        <w:tc>
          <w:tcPr>
            <w:tcW w:type="dxa" w:w="2350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21"/>
              </w:rPr>
              <w:t>Идентификатор</w:t>
            </w:r>
          </w:p>
        </w:tc>
        <w:tc>
          <w:tcPr>
            <w:tcW w:type="dxa" w:w="3222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21"/>
              </w:rPr>
              <w:t>Състояние/бележка</w:t>
            </w:r>
          </w:p>
        </w:tc>
      </w:tr>
      <w:tr>
        <w:trPr>
          <w:trHeight w:val="595" w:hRule="atLeast"/>
          <w:cantSplit w:val="1"/>
        </w:trPr>
        <w:tc>
          <w:tcPr>
            <w:tcW w:type="dxa" w:w="26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  <w:t>Входна врата</w:t>
            </w:r>
          </w:p>
        </w:tc>
        <w:tc>
          <w:tcPr>
            <w:tcW w:type="dxa" w:w="900"/>
            <w:vAlign w:val="center"/>
          </w:tcPr>
          <w:p>
            <w:pPr>
              <w:keepNext w:val="0"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322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  <w:tr>
        <w:trPr>
          <w:trHeight w:val="595" w:hRule="atLeast"/>
          <w:cantSplit w:val="1"/>
        </w:trPr>
        <w:tc>
          <w:tcPr>
            <w:tcW w:type="dxa" w:w="26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  <w:t>Вход на сградата</w:t>
            </w:r>
          </w:p>
        </w:tc>
        <w:tc>
          <w:tcPr>
            <w:tcW w:type="dxa" w:w="900"/>
            <w:vAlign w:val="center"/>
          </w:tcPr>
          <w:p>
            <w:pPr>
              <w:keepNext w:val="0"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322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  <w:tr>
        <w:trPr>
          <w:trHeight w:val="595" w:hRule="atLeast"/>
          <w:cantSplit w:val="1"/>
        </w:trPr>
        <w:tc>
          <w:tcPr>
            <w:tcW w:type="dxa" w:w="26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  <w:t>Пощенска кутия</w:t>
            </w:r>
          </w:p>
        </w:tc>
        <w:tc>
          <w:tcPr>
            <w:tcW w:type="dxa" w:w="900"/>
            <w:vAlign w:val="center"/>
          </w:tcPr>
          <w:p>
            <w:pPr>
              <w:keepNext w:val="0"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322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  <w:tr>
        <w:trPr>
          <w:trHeight w:val="595" w:hRule="atLeast"/>
          <w:cantSplit w:val="1"/>
        </w:trPr>
        <w:tc>
          <w:tcPr>
            <w:tcW w:type="dxa" w:w="26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  <w:t>Гараж/паркомясто</w:t>
            </w:r>
          </w:p>
        </w:tc>
        <w:tc>
          <w:tcPr>
            <w:tcW w:type="dxa" w:w="900"/>
            <w:vAlign w:val="center"/>
          </w:tcPr>
          <w:p>
            <w:pPr>
              <w:keepNext w:val="0"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322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  <w:tr>
        <w:trPr>
          <w:trHeight w:val="595" w:hRule="atLeast"/>
          <w:cantSplit w:val="1"/>
        </w:trPr>
        <w:tc>
          <w:tcPr>
            <w:tcW w:type="dxa" w:w="26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  <w:t>Чип/карта/</w:t>
              <w:br/>
              <w:t>дистанционно</w:t>
            </w:r>
          </w:p>
        </w:tc>
        <w:tc>
          <w:tcPr>
            <w:tcW w:type="dxa" w:w="900"/>
            <w:vAlign w:val="center"/>
          </w:tcPr>
          <w:p>
            <w:pPr>
              <w:keepNext w:val="0"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322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  <w:tr>
        <w:trPr>
          <w:trHeight w:val="595" w:hRule="atLeast"/>
          <w:cantSplit w:val="1"/>
        </w:trPr>
        <w:tc>
          <w:tcPr>
            <w:tcW w:type="dxa" w:w="26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  <w:t>Друго</w:t>
            </w:r>
          </w:p>
        </w:tc>
        <w:tc>
          <w:tcPr>
            <w:tcW w:type="dxa" w:w="900"/>
            <w:vAlign w:val="center"/>
          </w:tcPr>
          <w:p>
            <w:pPr>
              <w:keepNext w:val="0"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3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322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</w:tbl>
    <w:p>
      <w:pPr>
        <w:spacing w:before="0" w:after="60"/>
      </w:pPr>
    </w:p>
    <w:p>
      <w:pPr>
        <w:pStyle w:val="Heading1"/>
        <w:pageBreakBefore w:val="0"/>
      </w:pPr>
      <w:r>
        <w:t>V. ПОКАЗАНИЯ И ПРЕХВЪРЛЯНЕ НА ПАРТИДИ</w:t>
      </w:r>
    </w:p>
    <w:tbl>
      <w:tblPr>
        <w:tblW w:type="dxa" w:w="9072"/>
        <w:jc w:val="left"/>
        <w:tblLayout w:type="fixed"/>
        <w:tblLook w:firstColumn="1" w:firstRow="1" w:lastColumn="0" w:lastRow="0" w:noHBand="0" w:noVBand="1" w:val="04A0"/>
        <w:tblInd w:w="0" w:type="dxa"/>
        <w:tblCellMar>
          <w:top w:w="105" w:type="dxa"/>
          <w:start w:w="120" w:type="dxa"/>
          <w:bottom w:w="105" w:type="dxa"/>
          <w:end w:w="120" w:type="dxa"/>
        </w:tblCellMar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single" w:sz="6" w:space="0" w:color="333333"/>
          <w:insideV w:val="single" w:sz="6" w:space="0" w:color="333333"/>
        </w:tblBorders>
      </w:tblPr>
      <w:tblGrid>
        <w:gridCol w:w="2150"/>
        <w:gridCol w:w="1650"/>
        <w:gridCol w:w="1050"/>
        <w:gridCol w:w="1500"/>
        <w:gridCol w:w="2722"/>
      </w:tblGrid>
      <w:tr>
        <w:trPr>
          <w:trHeight w:val="510" w:hRule="atLeast"/>
          <w:tblHeader w:val="1"/>
          <w:cantSplit w:val="1"/>
        </w:trPr>
        <w:tc>
          <w:tcPr>
            <w:tcW w:type="dxa" w:w="2150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21"/>
              </w:rPr>
              <w:t>Услуга/уред</w:t>
            </w:r>
          </w:p>
        </w:tc>
        <w:tc>
          <w:tcPr>
            <w:tcW w:type="dxa" w:w="1650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21"/>
              </w:rPr>
              <w:t>№ уред/партида</w:t>
            </w:r>
          </w:p>
        </w:tc>
        <w:tc>
          <w:tcPr>
            <w:tcW w:type="dxa" w:w="1050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21"/>
              </w:rPr>
              <w:t>Мярка</w:t>
            </w:r>
          </w:p>
        </w:tc>
        <w:tc>
          <w:tcPr>
            <w:tcW w:type="dxa" w:w="1500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21"/>
              </w:rPr>
              <w:t>Показание</w:t>
            </w:r>
          </w:p>
        </w:tc>
        <w:tc>
          <w:tcPr>
            <w:tcW w:type="dxa" w:w="2722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21"/>
              </w:rPr>
              <w:t>Действие/срок за партида</w:t>
            </w:r>
          </w:p>
        </w:tc>
      </w:tr>
      <w:tr>
        <w:trPr>
          <w:trHeight w:val="624" w:hRule="atLeast"/>
          <w:cantSplit w:val="1"/>
        </w:trPr>
        <w:tc>
          <w:tcPr>
            <w:tcW w:type="dxa" w:w="21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  <w:t>Електроенергия - дневна</w:t>
            </w:r>
          </w:p>
        </w:tc>
        <w:tc>
          <w:tcPr>
            <w:tcW w:type="dxa" w:w="16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1050"/>
            <w:vAlign w:val="center"/>
          </w:tcPr>
          <w:p>
            <w:pPr>
              <w:keepNext w:val="0"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  <w:t>kWh</w:t>
            </w:r>
          </w:p>
        </w:tc>
        <w:tc>
          <w:tcPr>
            <w:tcW w:type="dxa" w:w="1500"/>
            <w:vAlign w:val="center"/>
          </w:tcPr>
          <w:p>
            <w:pPr>
              <w:keepNext w:val="0"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72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  <w:tr>
        <w:trPr>
          <w:trHeight w:val="624" w:hRule="atLeast"/>
          <w:cantSplit w:val="1"/>
        </w:trPr>
        <w:tc>
          <w:tcPr>
            <w:tcW w:type="dxa" w:w="21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  <w:t>Електроенергия - нощна</w:t>
            </w:r>
          </w:p>
        </w:tc>
        <w:tc>
          <w:tcPr>
            <w:tcW w:type="dxa" w:w="16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1050"/>
            <w:vAlign w:val="center"/>
          </w:tcPr>
          <w:p>
            <w:pPr>
              <w:keepNext w:val="0"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  <w:t>kWh</w:t>
            </w:r>
          </w:p>
        </w:tc>
        <w:tc>
          <w:tcPr>
            <w:tcW w:type="dxa" w:w="1500"/>
            <w:vAlign w:val="center"/>
          </w:tcPr>
          <w:p>
            <w:pPr>
              <w:keepNext w:val="0"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72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  <w:tr>
        <w:trPr>
          <w:trHeight w:val="624" w:hRule="atLeast"/>
          <w:cantSplit w:val="1"/>
        </w:trPr>
        <w:tc>
          <w:tcPr>
            <w:tcW w:type="dxa" w:w="21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  <w:t>Студена вода</w:t>
            </w:r>
          </w:p>
        </w:tc>
        <w:tc>
          <w:tcPr>
            <w:tcW w:type="dxa" w:w="16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1050"/>
            <w:vAlign w:val="center"/>
          </w:tcPr>
          <w:p>
            <w:pPr>
              <w:keepNext w:val="0"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  <w:t>m³</w:t>
            </w:r>
          </w:p>
        </w:tc>
        <w:tc>
          <w:tcPr>
            <w:tcW w:type="dxa" w:w="1500"/>
            <w:vAlign w:val="center"/>
          </w:tcPr>
          <w:p>
            <w:pPr>
              <w:keepNext w:val="0"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72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  <w:tr>
        <w:trPr>
          <w:trHeight w:val="624" w:hRule="atLeast"/>
          <w:cantSplit w:val="1"/>
        </w:trPr>
        <w:tc>
          <w:tcPr>
            <w:tcW w:type="dxa" w:w="21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  <w:t>Топла вода</w:t>
            </w:r>
          </w:p>
        </w:tc>
        <w:tc>
          <w:tcPr>
            <w:tcW w:type="dxa" w:w="16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1050"/>
            <w:vAlign w:val="center"/>
          </w:tcPr>
          <w:p>
            <w:pPr>
              <w:keepNext w:val="0"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  <w:t>m³</w:t>
            </w:r>
          </w:p>
        </w:tc>
        <w:tc>
          <w:tcPr>
            <w:tcW w:type="dxa" w:w="1500"/>
            <w:vAlign w:val="center"/>
          </w:tcPr>
          <w:p>
            <w:pPr>
              <w:keepNext w:val="0"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72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  <w:tr>
        <w:trPr>
          <w:trHeight w:val="624" w:hRule="atLeast"/>
          <w:cantSplit w:val="1"/>
        </w:trPr>
        <w:tc>
          <w:tcPr>
            <w:tcW w:type="dxa" w:w="21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  <w:t>Газ</w:t>
            </w:r>
          </w:p>
        </w:tc>
        <w:tc>
          <w:tcPr>
            <w:tcW w:type="dxa" w:w="16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1050"/>
            <w:vAlign w:val="center"/>
          </w:tcPr>
          <w:p>
            <w:pPr>
              <w:keepNext w:val="0"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  <w:t>m³/kWh</w:t>
            </w:r>
          </w:p>
        </w:tc>
        <w:tc>
          <w:tcPr>
            <w:tcW w:type="dxa" w:w="1500"/>
            <w:vAlign w:val="center"/>
          </w:tcPr>
          <w:p>
            <w:pPr>
              <w:keepNext w:val="0"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72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  <w:tr>
        <w:trPr>
          <w:trHeight w:val="624" w:hRule="atLeast"/>
          <w:cantSplit w:val="1"/>
        </w:trPr>
        <w:tc>
          <w:tcPr>
            <w:tcW w:type="dxa" w:w="21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  <w:t>Топломер/разпределител</w:t>
            </w:r>
          </w:p>
        </w:tc>
        <w:tc>
          <w:tcPr>
            <w:tcW w:type="dxa" w:w="16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1050"/>
            <w:vAlign w:val="center"/>
          </w:tcPr>
          <w:p>
            <w:pPr>
              <w:keepNext w:val="0"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1500"/>
            <w:vAlign w:val="center"/>
          </w:tcPr>
          <w:p>
            <w:pPr>
              <w:keepNext w:val="0"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72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  <w:tr>
        <w:trPr>
          <w:trHeight w:val="624" w:hRule="atLeast"/>
          <w:cantSplit w:val="1"/>
        </w:trPr>
        <w:tc>
          <w:tcPr>
            <w:tcW w:type="dxa" w:w="21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  <w:t>Друго</w:t>
            </w:r>
          </w:p>
        </w:tc>
        <w:tc>
          <w:tcPr>
            <w:tcW w:type="dxa" w:w="16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1050"/>
            <w:vAlign w:val="center"/>
          </w:tcPr>
          <w:p>
            <w:pPr>
              <w:keepNext w:val="0"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1500"/>
            <w:vAlign w:val="center"/>
          </w:tcPr>
          <w:p>
            <w:pPr>
              <w:keepNext w:val="0"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72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</w:tbl>
    <w:p>
      <w:pPr>
        <w:spacing w:before="0" w:after="60"/>
      </w:pPr>
    </w:p>
    <w:p>
      <w:pPr>
        <w:pStyle w:val="Heading1"/>
        <w:pageBreakBefore w:val="0"/>
      </w:pPr>
      <w:r>
        <w:t>VI. ПРЕДАДЕНИ ДОКУМЕНТИ, ПРИНАДЛЕЖНОСТИ И ВЕЩИ</w:t>
      </w:r>
    </w:p>
    <w:tbl>
      <w:tblPr>
        <w:tblW w:type="dxa" w:w="9072"/>
        <w:jc w:val="left"/>
        <w:tblLayout w:type="fixed"/>
        <w:tblLook w:firstColumn="1" w:firstRow="1" w:lastColumn="0" w:lastRow="0" w:noHBand="0" w:noVBand="1" w:val="04A0"/>
        <w:tblInd w:w="0" w:type="dxa"/>
        <w:tblCellMar>
          <w:top w:w="105" w:type="dxa"/>
          <w:start w:w="120" w:type="dxa"/>
          <w:bottom w:w="105" w:type="dxa"/>
          <w:end w:w="120" w:type="dxa"/>
        </w:tblCellMar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single" w:sz="6" w:space="0" w:color="333333"/>
          <w:insideV w:val="single" w:sz="6" w:space="0" w:color="333333"/>
        </w:tblBorders>
      </w:tblPr>
      <w:tblGrid>
        <w:gridCol w:w="3450"/>
        <w:gridCol w:w="750"/>
        <w:gridCol w:w="2100"/>
        <w:gridCol w:w="2772"/>
      </w:tblGrid>
      <w:tr>
        <w:trPr>
          <w:trHeight w:val="510" w:hRule="atLeast"/>
          <w:tblHeader w:val="1"/>
          <w:cantSplit w:val="1"/>
        </w:trPr>
        <w:tc>
          <w:tcPr>
            <w:tcW w:type="dxa" w:w="3450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21"/>
              </w:rPr>
              <w:t>Документ/принадлежност/вещ</w:t>
            </w:r>
          </w:p>
        </w:tc>
        <w:tc>
          <w:tcPr>
            <w:tcW w:type="dxa" w:w="750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21"/>
              </w:rPr>
              <w:t>Брой</w:t>
            </w:r>
          </w:p>
        </w:tc>
        <w:tc>
          <w:tcPr>
            <w:tcW w:type="dxa" w:w="2100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21"/>
              </w:rPr>
              <w:t>Идентификатор</w:t>
            </w:r>
          </w:p>
        </w:tc>
        <w:tc>
          <w:tcPr>
            <w:tcW w:type="dxa" w:w="2772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21"/>
              </w:rPr>
              <w:t>Състояние/бележка</w:t>
            </w:r>
          </w:p>
        </w:tc>
      </w:tr>
      <w:tr>
        <w:trPr>
          <w:trHeight w:val="624" w:hRule="atLeast"/>
          <w:cantSplit w:val="1"/>
        </w:trPr>
        <w:tc>
          <w:tcPr>
            <w:tcW w:type="dxa" w:w="34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  <w:t>Вписан препис/копие от нотариалния акт</w:t>
            </w:r>
          </w:p>
        </w:tc>
        <w:tc>
          <w:tcPr>
            <w:tcW w:type="dxa" w:w="750"/>
            <w:vAlign w:val="center"/>
          </w:tcPr>
          <w:p>
            <w:pPr>
              <w:keepNext w:val="0"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1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7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  <w:tr>
        <w:trPr>
          <w:trHeight w:val="624" w:hRule="atLeast"/>
          <w:cantSplit w:val="1"/>
        </w:trPr>
        <w:tc>
          <w:tcPr>
            <w:tcW w:type="dxa" w:w="34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  <w:t>Схеми/скици и технически документи</w:t>
            </w:r>
          </w:p>
        </w:tc>
        <w:tc>
          <w:tcPr>
            <w:tcW w:type="dxa" w:w="750"/>
            <w:vAlign w:val="center"/>
          </w:tcPr>
          <w:p>
            <w:pPr>
              <w:keepNext w:val="0"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1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7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  <w:tr>
        <w:trPr>
          <w:trHeight w:val="624" w:hRule="atLeast"/>
          <w:cantSplit w:val="1"/>
        </w:trPr>
        <w:tc>
          <w:tcPr>
            <w:tcW w:type="dxa" w:w="34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  <w:t>Документи на етажната собственост</w:t>
            </w:r>
          </w:p>
        </w:tc>
        <w:tc>
          <w:tcPr>
            <w:tcW w:type="dxa" w:w="750"/>
            <w:vAlign w:val="center"/>
          </w:tcPr>
          <w:p>
            <w:pPr>
              <w:keepNext w:val="0"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1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7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  <w:tr>
        <w:trPr>
          <w:trHeight w:val="624" w:hRule="atLeast"/>
          <w:cantSplit w:val="1"/>
        </w:trPr>
        <w:tc>
          <w:tcPr>
            <w:tcW w:type="dxa" w:w="34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  <w:t>Гаранции и инструкции</w:t>
            </w:r>
          </w:p>
        </w:tc>
        <w:tc>
          <w:tcPr>
            <w:tcW w:type="dxa" w:w="750"/>
            <w:vAlign w:val="center"/>
          </w:tcPr>
          <w:p>
            <w:pPr>
              <w:keepNext w:val="0"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1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7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  <w:tr>
        <w:trPr>
          <w:trHeight w:val="624" w:hRule="atLeast"/>
          <w:cantSplit w:val="1"/>
        </w:trPr>
        <w:tc>
          <w:tcPr>
            <w:tcW w:type="dxa" w:w="34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  <w:t>Паркинг/гараж документи и средства</w:t>
            </w:r>
          </w:p>
        </w:tc>
        <w:tc>
          <w:tcPr>
            <w:tcW w:type="dxa" w:w="750"/>
            <w:vAlign w:val="center"/>
          </w:tcPr>
          <w:p>
            <w:pPr>
              <w:keepNext w:val="0"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1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7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  <w:tr>
        <w:trPr>
          <w:trHeight w:val="624" w:hRule="atLeast"/>
          <w:cantSplit w:val="1"/>
        </w:trPr>
        <w:tc>
          <w:tcPr>
            <w:tcW w:type="dxa" w:w="34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  <w:t>Мебели/техника по уговорен опис</w:t>
            </w:r>
          </w:p>
        </w:tc>
        <w:tc>
          <w:tcPr>
            <w:tcW w:type="dxa" w:w="750"/>
            <w:vAlign w:val="center"/>
          </w:tcPr>
          <w:p>
            <w:pPr>
              <w:keepNext w:val="0"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1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7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  <w:tr>
        <w:trPr>
          <w:trHeight w:val="624" w:hRule="atLeast"/>
          <w:cantSplit w:val="1"/>
        </w:trPr>
        <w:tc>
          <w:tcPr>
            <w:tcW w:type="dxa" w:w="34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  <w:t>Друго</w:t>
            </w:r>
          </w:p>
        </w:tc>
        <w:tc>
          <w:tcPr>
            <w:tcW w:type="dxa" w:w="750"/>
            <w:vAlign w:val="center"/>
          </w:tcPr>
          <w:p>
            <w:pPr>
              <w:keepNext w:val="0"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1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7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  <w:tr>
        <w:trPr>
          <w:trHeight w:val="624" w:hRule="atLeast"/>
          <w:cantSplit w:val="1"/>
        </w:trPr>
        <w:tc>
          <w:tcPr>
            <w:tcW w:type="dxa" w:w="34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  <w:t>Друго</w:t>
            </w:r>
          </w:p>
        </w:tc>
        <w:tc>
          <w:tcPr>
            <w:tcW w:type="dxa" w:w="750"/>
            <w:vAlign w:val="center"/>
          </w:tcPr>
          <w:p>
            <w:pPr>
              <w:keepNext w:val="0"/>
              <w:keepLines/>
              <w:spacing w:before="0" w:after="0" w:line="245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10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7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</w:tbl>
    <w:p>
      <w:pPr>
        <w:spacing w:before="0" w:after="60"/>
      </w:pPr>
    </w:p>
    <w:p>
      <w:pPr>
        <w:pStyle w:val="Heading1"/>
        <w:pageBreakBefore w:val="0"/>
      </w:pPr>
      <w:r>
        <w:t>VII. ПЛАЩАНЕ И НЕЗАВЪРШЕНИ ДЕЙСТВИЯ</w:t>
      </w:r>
    </w:p>
    <w:p>
      <w:pPr>
        <w:pStyle w:val="Formlabel"/>
        <w:keepNext/>
      </w:pPr>
      <w:r>
        <w:rPr>
          <w:rFonts w:ascii="Times New Roman" w:hAnsi="Times New Roman" w:eastAsia="Times New Roman" w:cs="Times New Roman"/>
          <w:color w:val="111111"/>
          <w:sz w:val="23"/>
        </w:rPr>
        <w:t>Референция към доказателство за плащане - документ, дата, сума и банкова референция: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keepNext w:val="0"/>
        <w:keepLines w:val="0"/>
        <w:jc w:val="left"/>
      </w:pPr>
      <w:r>
        <w:rPr>
          <w:rFonts w:ascii="Times New Roman" w:hAnsi="Times New Roman" w:eastAsia="Times New Roman" w:cs="Times New Roman"/>
          <w:b/>
          <w:color w:val="111111"/>
          <w:sz w:val="23"/>
        </w:rPr>
        <w:t xml:space="preserve">Чл. 2. </w:t>
      </w:r>
      <w:r>
        <w:rPr>
          <w:rFonts w:ascii="Times New Roman" w:hAnsi="Times New Roman" w:eastAsia="Times New Roman" w:cs="Times New Roman"/>
          <w:color w:val="111111"/>
          <w:sz w:val="23"/>
        </w:rPr>
        <w:t>Този протокол не е доказателство за пълно плащане и не замества банковия документ, нотариалния акт или отделна разписка.</w:t>
      </w:r>
    </w:p>
    <w:p>
      <w:pPr>
        <w:pStyle w:val="Formlabel"/>
        <w:keepNext/>
      </w:pPr>
      <w:r>
        <w:rPr>
          <w:rFonts w:ascii="Times New Roman" w:hAnsi="Times New Roman" w:eastAsia="Times New Roman" w:cs="Times New Roman"/>
          <w:color w:val="111111"/>
          <w:sz w:val="23"/>
        </w:rPr>
        <w:t>Незавършени действия, отговорно лице и краен срок: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</w:pPr>
      <w:r>
        <w:rPr>
          <w:rFonts w:ascii="Times New Roman" w:hAnsi="Times New Roman" w:eastAsia="Times New Roman" w:cs="Times New Roman"/>
          <w:color w:val="111111"/>
          <w:sz w:val="23"/>
        </w:rPr>
        <w:t>Възражения на Страните: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Heading1"/>
        <w:pageBreakBefore w:val="0"/>
      </w:pPr>
      <w:r>
        <w:t>VIII. СНИМКОВ ИНДЕКС</w:t>
      </w:r>
    </w:p>
    <w:p>
      <w:pPr>
        <w:pStyle w:val="Formlabel"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Общ брой снимки: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</w:t>
      </w:r>
      <w:r>
        <w:rPr>
          <w:rFonts w:ascii="Times New Roman" w:hAnsi="Times New Roman" w:eastAsia="Times New Roman" w:cs="Times New Roman"/>
          <w:color w:val="111111"/>
          <w:sz w:val="23"/>
        </w:rPr>
        <w:t xml:space="preserve">    Дата: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</w:t>
      </w:r>
    </w:p>
    <w:p>
      <w:pPr>
        <w:pStyle w:val="Formlabel"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Начален точен час: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</w:t>
      </w:r>
      <w:r>
        <w:rPr>
          <w:rFonts w:ascii="Times New Roman" w:hAnsi="Times New Roman" w:eastAsia="Times New Roman" w:cs="Times New Roman"/>
          <w:color w:val="111111"/>
          <w:sz w:val="23"/>
        </w:rPr>
        <w:t xml:space="preserve">    Краен точен час: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</w:t>
      </w:r>
    </w:p>
    <w:p>
      <w:pPr>
        <w:pStyle w:val="Formlabel"/>
        <w:keepNext w:val="0"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Носител/начин на споделяне между Страните: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</w:t>
      </w:r>
    </w:p>
    <w:tbl>
      <w:tblPr>
        <w:tblW w:type="dxa" w:w="9072"/>
        <w:jc w:val="left"/>
        <w:tblLayout w:type="fixed"/>
        <w:tblLook w:firstColumn="1" w:firstRow="1" w:lastColumn="0" w:lastRow="0" w:noHBand="0" w:noVBand="1" w:val="04A0"/>
        <w:tblInd w:w="0" w:type="dxa"/>
        <w:tblCellMar>
          <w:top w:w="105" w:type="dxa"/>
          <w:start w:w="120" w:type="dxa"/>
          <w:bottom w:w="105" w:type="dxa"/>
          <w:end w:w="120" w:type="dxa"/>
        </w:tblCellMar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single" w:sz="6" w:space="0" w:color="333333"/>
          <w:insideV w:val="single" w:sz="6" w:space="0" w:color="333333"/>
        </w:tblBorders>
      </w:tblPr>
      <w:tblGrid>
        <w:gridCol w:w="2750"/>
        <w:gridCol w:w="3772"/>
        <w:gridCol w:w="2550"/>
      </w:tblGrid>
      <w:tr>
        <w:trPr>
          <w:trHeight w:val="510" w:hRule="atLeast"/>
          <w:tblHeader w:val="1"/>
          <w:cantSplit w:val="1"/>
        </w:trPr>
        <w:tc>
          <w:tcPr>
            <w:tcW w:type="dxa" w:w="2750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21"/>
              </w:rPr>
              <w:t>Име/№ на файл</w:t>
            </w:r>
          </w:p>
        </w:tc>
        <w:tc>
          <w:tcPr>
            <w:tcW w:type="dxa" w:w="3772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21"/>
              </w:rPr>
              <w:t>Какво е заснето</w:t>
            </w:r>
          </w:p>
        </w:tc>
        <w:tc>
          <w:tcPr>
            <w:tcW w:type="dxa" w:w="2550"/>
            <w:shd w:val="clear" w:color="auto" w:fill="EEEEEE"/>
            <w:vAlign w:val="center"/>
          </w:tcPr>
          <w:p>
            <w:pPr>
              <w:keepNext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/>
                <w:color w:val="111111"/>
                <w:sz w:val="21"/>
              </w:rPr>
              <w:t>Дата и точен час</w:t>
            </w:r>
          </w:p>
        </w:tc>
      </w:tr>
      <w:tr>
        <w:trPr>
          <w:trHeight w:val="624" w:hRule="atLeast"/>
          <w:cantSplit w:val="1"/>
        </w:trPr>
        <w:tc>
          <w:tcPr>
            <w:tcW w:type="dxa" w:w="27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37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  <w:tr>
        <w:trPr>
          <w:trHeight w:val="624" w:hRule="atLeast"/>
          <w:cantSplit w:val="1"/>
        </w:trPr>
        <w:tc>
          <w:tcPr>
            <w:tcW w:type="dxa" w:w="27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37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  <w:tr>
        <w:trPr>
          <w:trHeight w:val="624" w:hRule="atLeast"/>
          <w:cantSplit w:val="1"/>
        </w:trPr>
        <w:tc>
          <w:tcPr>
            <w:tcW w:type="dxa" w:w="27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37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  <w:tr>
        <w:trPr>
          <w:trHeight w:val="624" w:hRule="atLeast"/>
          <w:cantSplit w:val="1"/>
        </w:trPr>
        <w:tc>
          <w:tcPr>
            <w:tcW w:type="dxa" w:w="27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37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  <w:tr>
        <w:trPr>
          <w:trHeight w:val="624" w:hRule="atLeast"/>
          <w:cantSplit w:val="1"/>
        </w:trPr>
        <w:tc>
          <w:tcPr>
            <w:tcW w:type="dxa" w:w="27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37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  <w:tr>
        <w:trPr>
          <w:trHeight w:val="624" w:hRule="atLeast"/>
          <w:cantSplit w:val="1"/>
        </w:trPr>
        <w:tc>
          <w:tcPr>
            <w:tcW w:type="dxa" w:w="27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37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  <w:tr>
        <w:trPr>
          <w:trHeight w:val="624" w:hRule="atLeast"/>
          <w:cantSplit w:val="1"/>
        </w:trPr>
        <w:tc>
          <w:tcPr>
            <w:tcW w:type="dxa" w:w="27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3772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  <w:tc>
          <w:tcPr>
            <w:tcW w:type="dxa" w:w="2550"/>
            <w:vAlign w:val="center"/>
          </w:tcPr>
          <w:p>
            <w:pPr>
              <w:keepNext w:val="0"/>
              <w:keepLines/>
              <w:spacing w:before="0" w:after="0" w:line="245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color w:val="111111"/>
                <w:sz w:val="21"/>
              </w:rPr>
            </w:r>
          </w:p>
        </w:tc>
      </w:tr>
    </w:tbl>
    <w:p>
      <w:pPr>
        <w:spacing w:before="0" w:after="60"/>
      </w:pPr>
    </w:p>
    <w:p>
      <w:pPr>
        <w:pStyle w:val="Heading1"/>
        <w:pageBreakBefore w:val="0"/>
      </w:pPr>
      <w:r>
        <w:t>IX. ЗАКЛЮЧИТЕЛНИ КОНСТАТАЦИИ</w:t>
      </w:r>
    </w:p>
    <w:p>
      <w:pPr>
        <w:keepNext w:val="0"/>
        <w:keepLines w:val="0"/>
        <w:jc w:val="left"/>
      </w:pPr>
      <w:r>
        <w:rPr>
          <w:rFonts w:ascii="Times New Roman" w:hAnsi="Times New Roman" w:eastAsia="Times New Roman" w:cs="Times New Roman"/>
          <w:b/>
          <w:color w:val="111111"/>
          <w:sz w:val="23"/>
        </w:rPr>
        <w:t xml:space="preserve">Чл. 3. </w:t>
      </w:r>
      <w:r>
        <w:rPr>
          <w:rFonts w:ascii="Times New Roman" w:hAnsi="Times New Roman" w:eastAsia="Times New Roman" w:cs="Times New Roman"/>
          <w:color w:val="111111"/>
          <w:sz w:val="23"/>
        </w:rPr>
        <w:t>Подписването удостоверява описаното фактическо предаване. Протоколът не изменя нотариалния акт, не представлява отказ от права относно скрити дефекти, последващи сметки или друго право по нотариалния акт и закона.</w:t>
      </w:r>
    </w:p>
    <w:p>
      <w:pPr>
        <w:keepNext/>
        <w:keepLines/>
        <w:jc w:val="left"/>
      </w:pPr>
      <w:r>
        <w:rPr>
          <w:rFonts w:ascii="Times New Roman" w:hAnsi="Times New Roman" w:eastAsia="Times New Roman" w:cs="Times New Roman"/>
          <w:b/>
          <w:color w:val="111111"/>
          <w:sz w:val="23"/>
        </w:rPr>
        <w:t xml:space="preserve">Чл. 4. </w:t>
      </w:r>
      <w:r>
        <w:rPr>
          <w:rFonts w:ascii="Times New Roman" w:hAnsi="Times New Roman" w:eastAsia="Times New Roman" w:cs="Times New Roman"/>
          <w:color w:val="111111"/>
          <w:sz w:val="23"/>
        </w:rPr>
        <w:t>Допълнителните листове и приложения са последователно номерирани, посочват към коя част се отнасят и се подписват или парафират на всяка страница от страните, за които се отнасят.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Приложени допълнителни листове - наименование и брой страници: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pStyle w:val="Formlabel"/>
        <w:keepNext w:val="0"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........................................................................................................................................................</w:t>
      </w:r>
    </w:p>
    <w:p>
      <w:pPr>
        <w:keepNext w:val="0"/>
        <w:keepLines w:val="0"/>
        <w:jc w:val="left"/>
      </w:pPr>
      <w:r>
        <w:rPr>
          <w:rFonts w:ascii="Times New Roman" w:hAnsi="Times New Roman" w:eastAsia="Times New Roman" w:cs="Times New Roman"/>
          <w:b/>
          <w:color w:val="111111"/>
          <w:sz w:val="23"/>
        </w:rPr>
        <w:t xml:space="preserve">Чл. 5. </w:t>
      </w:r>
      <w:r>
        <w:rPr>
          <w:rFonts w:ascii="Times New Roman" w:hAnsi="Times New Roman" w:eastAsia="Times New Roman" w:cs="Times New Roman"/>
          <w:color w:val="111111"/>
          <w:sz w:val="23"/>
        </w:rPr>
        <w:t>Протоколът се подписва в два еднообразни оригинални екземпляра - по един за всяка страна.</w:t>
      </w:r>
    </w:p>
    <w:p>
      <w:pPr>
        <w:pStyle w:val="Heading1"/>
        <w:pageBreakBefore w:val="0"/>
      </w:pPr>
      <w:r>
        <w:t>X. ОТДЕЛНИ ПОДПИСИ</w:t>
      </w:r>
    </w:p>
    <w:p>
      <w:pPr>
        <w:pStyle w:val="Heading2"/>
        <w:keepNext/>
        <w:keepLines/>
      </w:pPr>
      <w:r>
        <w:t>ПРОДАВАЧ/ПРЕДАВАЩ № 1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Име: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</w:t>
      </w:r>
    </w:p>
    <w:p>
      <w:pPr>
        <w:pStyle w:val="Formlabel"/>
        <w:keepNext w:val="0"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Дата: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</w:t>
      </w:r>
      <w:r>
        <w:rPr>
          <w:rFonts w:ascii="Times New Roman" w:hAnsi="Times New Roman" w:eastAsia="Times New Roman" w:cs="Times New Roman"/>
          <w:color w:val="111111"/>
          <w:sz w:val="23"/>
        </w:rPr>
        <w:t xml:space="preserve">    Подпис: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</w:t>
      </w:r>
    </w:p>
    <w:p>
      <w:pPr>
        <w:pStyle w:val="Heading2"/>
        <w:keepNext/>
        <w:keepLines/>
      </w:pPr>
      <w:r>
        <w:t>ПРОДАВАЧ/ПРЕДАВАЩ № 2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Име: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</w:t>
      </w:r>
    </w:p>
    <w:p>
      <w:pPr>
        <w:pStyle w:val="Formlabel"/>
        <w:keepNext w:val="0"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Дата: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</w:t>
      </w:r>
      <w:r>
        <w:rPr>
          <w:rFonts w:ascii="Times New Roman" w:hAnsi="Times New Roman" w:eastAsia="Times New Roman" w:cs="Times New Roman"/>
          <w:color w:val="111111"/>
          <w:sz w:val="23"/>
        </w:rPr>
        <w:t xml:space="preserve">    Подпис: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</w:t>
      </w:r>
    </w:p>
    <w:p>
      <w:pPr>
        <w:pStyle w:val="Heading2"/>
        <w:keepNext/>
        <w:keepLines/>
      </w:pPr>
      <w:r>
        <w:t>КУПУВАЧ/ПРИЕМАЩ № 1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Име: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</w:t>
      </w:r>
    </w:p>
    <w:p>
      <w:pPr>
        <w:pStyle w:val="Formlabel"/>
        <w:keepNext w:val="0"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Дата: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</w:t>
      </w:r>
      <w:r>
        <w:rPr>
          <w:rFonts w:ascii="Times New Roman" w:hAnsi="Times New Roman" w:eastAsia="Times New Roman" w:cs="Times New Roman"/>
          <w:color w:val="111111"/>
          <w:sz w:val="23"/>
        </w:rPr>
        <w:t xml:space="preserve">    Подпис: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</w:t>
      </w:r>
    </w:p>
    <w:p>
      <w:pPr>
        <w:pStyle w:val="Heading2"/>
        <w:keepNext/>
        <w:keepLines/>
      </w:pPr>
      <w:r>
        <w:t>КУПУВАЧ/ПРИЕМАЩ № 2</w:t>
      </w:r>
    </w:p>
    <w:p>
      <w:pPr>
        <w:pStyle w:val="Formlabel"/>
        <w:keepNext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Име: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............................................................</w:t>
      </w:r>
    </w:p>
    <w:p>
      <w:pPr>
        <w:pStyle w:val="Formlabel"/>
        <w:keepNext w:val="0"/>
        <w:keepLines/>
      </w:pPr>
      <w:r>
        <w:rPr>
          <w:rFonts w:ascii="Times New Roman" w:hAnsi="Times New Roman" w:eastAsia="Times New Roman" w:cs="Times New Roman"/>
          <w:color w:val="111111"/>
          <w:sz w:val="23"/>
        </w:rPr>
        <w:t xml:space="preserve">Дата: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</w:t>
      </w:r>
      <w:r>
        <w:rPr>
          <w:rFonts w:ascii="Times New Roman" w:hAnsi="Times New Roman" w:eastAsia="Times New Roman" w:cs="Times New Roman"/>
          <w:color w:val="111111"/>
          <w:sz w:val="23"/>
        </w:rPr>
        <w:t xml:space="preserve">    Подпис: </w:t>
      </w:r>
      <w:r>
        <w:rPr>
          <w:rFonts w:ascii="Times New Roman" w:hAnsi="Times New Roman" w:eastAsia="Times New Roman" w:cs="Times New Roman"/>
          <w:color w:val="111111"/>
          <w:sz w:val="23"/>
        </w:rPr>
        <w:t>..............................</w:t>
      </w:r>
    </w:p>
    <w:sectPr w:rsidR="00FC693F" w:rsidRPr="0006063C" w:rsidSect="00034616">
      <w:footerReference w:type="default" r:id="rId9"/>
      <w:pgSz w:w="11906" w:h="16838"/>
      <w:pgMar w:top="1417" w:right="1417" w:bottom="1361" w:left="1417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center"/>
    </w:pPr>
    <w:r>
      <w:rPr>
        <w:rFonts w:ascii="Times New Roman" w:hAnsi="Times New Roman" w:eastAsia="Times New Roman" w:cs="Times New Roman"/>
        <w:color w:val="555555"/>
        <w:sz w:val="17"/>
      </w:rPr>
      <w:t xml:space="preserve">IMOTNO.bg · Версия 2.0 · Страница </w:t>
    </w:r>
    <w:fldSimple w:instr="PAGE">
      <w:r>
        <w:rPr>
          <w:rFonts w:ascii="Times New Roman" w:hAnsi="Times New Roman" w:eastAsia="Times New Roman" w:cs="Times New Roman"/>
          <w:color w:val="555555"/>
          <w:sz w:val="17"/>
        </w:rPr>
        <w:t>1</w:t>
      </w:r>
    </w:fldSimple>
    <w:r>
      <w:rPr>
        <w:rFonts w:ascii="Times New Roman" w:hAnsi="Times New Roman" w:eastAsia="Times New Roman" w:cs="Times New Roman"/>
        <w:color w:val="555555"/>
        <w:sz w:val="17"/>
      </w:rPr>
      <w:t xml:space="preserve"> от </w:t>
    </w:r>
    <w:fldSimple w:instr="NUMPAGES">
      <w:r>
        <w:rPr>
          <w:rFonts w:ascii="Times New Roman" w:hAnsi="Times New Roman" w:eastAsia="Times New Roman" w:cs="Times New Roman"/>
          <w:color w:val="555555"/>
          <w:sz w:val="17"/>
        </w:rPr>
        <w:t>1</w:t>
      </w:r>
    </w:fldSimple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70" w:line="259" w:lineRule="auto"/>
      <w:jc w:val="left"/>
    </w:pPr>
    <w:rPr>
      <w:rFonts w:ascii="Times New Roman" w:hAnsi="Times New Roman" w:eastAsia="Times New Roman" w:cs="Times New Roman"/>
      <w:b w:val="0"/>
      <w:i w:val="0"/>
      <w:color w:val="111111"/>
      <w:sz w:val="23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160" w:after="80" w:line="240" w:lineRule="auto"/>
      <w:jc w:val="center"/>
      <w:outlineLvl w:val="0"/>
    </w:pPr>
    <w:rPr>
      <w:rFonts w:ascii="Times New Roman" w:hAnsi="Times New Roman" w:eastAsia="Times New Roman" w:cs="Times New Roman"/>
      <w:b/>
      <w:bCs/>
      <w:i w:val="0"/>
      <w:color w:val="000000"/>
      <w:sz w:val="23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120" w:after="60" w:line="240" w:lineRule="auto"/>
      <w:jc w:val="left"/>
      <w:outlineLvl w:val="1"/>
    </w:pPr>
    <w:rPr>
      <w:rFonts w:ascii="Times New Roman" w:hAnsi="Times New Roman" w:eastAsia="Times New Roman" w:cs="Times New Roman"/>
      <w:b/>
      <w:bCs/>
      <w:i w:val="0"/>
      <w:color w:val="000000"/>
      <w:sz w:val="23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keepLines/>
      <w:widowControl/>
      <w:spacing w:after="80" w:line="240" w:lineRule="auto" w:before="0"/>
      <w:contextualSpacing/>
      <w:jc w:val="center"/>
    </w:pPr>
    <w:rPr>
      <w:rFonts w:ascii="Times New Roman" w:hAnsi="Times New Roman" w:eastAsia="Times New Roman" w:cs="Times New Roman"/>
      <w:b/>
      <w:i w:val="0"/>
      <w:color w:val="000000"/>
      <w:spacing w:val="5"/>
      <w:kern w:val="28"/>
      <w:sz w:val="31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keepLines/>
      <w:widowControl/>
      <w:numPr>
        <w:ilvl w:val="1"/>
      </w:numPr>
      <w:spacing w:before="0" w:after="140" w:line="240" w:lineRule="auto"/>
      <w:jc w:val="center"/>
    </w:pPr>
    <w:rPr>
      <w:rFonts w:ascii="Times New Roman" w:hAnsi="Times New Roman" w:eastAsia="Times New Roman" w:cs="Times New Roman"/>
      <w:b w:val="0"/>
      <w:i w:val="0"/>
      <w:iCs/>
      <w:color w:val="555555"/>
      <w:spacing w:val="15"/>
      <w:sz w:val="21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ormlabel">
    <w:name w:val="Form label"/>
    <w:pPr>
      <w:keepNext w:val="0"/>
      <w:keepLines w:val="0"/>
      <w:widowControl/>
      <w:spacing w:before="0" w:after="60" w:line="245" w:lineRule="auto"/>
      <w:jc w:val="left"/>
    </w:pPr>
    <w:rPr>
      <w:rFonts w:ascii="Times New Roman" w:hAnsi="Times New Roman" w:eastAsia="Times New Roman" w:cs="Times New Roman"/>
      <w:b w:val="0"/>
      <w:i w:val="0"/>
      <w:color w:val="111111"/>
      <w:sz w:val="23"/>
      <w:u w:val="non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Приемо-предавателен протокол при продажба на недвижим имот</dc:title>
  <dc:subject>Протокол за фактическо предаване след вече изпълнена окончателна сделка</dc:subject>
  <dc:creator>IMOTNO</dc:creator>
  <cp:keywords>недвижим имот; договор; протокол; образец; България</cp:keywords>
  <dc:description>Версия 2.0. Общ образец; не представлява индивидуален правен съвет.</dc:description>
  <cp:lastModifiedBy>IMOTNO</cp:lastModifiedBy>
  <cp:revision>1</cp:revision>
  <dcterms:created xsi:type="dcterms:W3CDTF">2026-08-21T00:00:00Z</dcterms:created>
  <dcterms:modified xsi:type="dcterms:W3CDTF">2026-08-21T00:00:00Z</dcterms:modified>
  <cp:category>Образци за сделки и наем на недвижими имоти</cp:category>
</cp:coreProperties>
</file>