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ПРИЕМО-ПРЕДАВАТЕЛЕН ПРОТОКОЛ</w:t>
        <w:br/>
        <w:t>КЪМ ДОГОВОР ЗА НАЕМ</w:t>
      </w:r>
    </w:p>
    <w:p>
      <w:pPr>
        <w:pStyle w:val="Formlabel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Дата: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</w:t>
      </w:r>
      <w:r>
        <w:rPr>
          <w:rFonts w:ascii="Times New Roman" w:hAnsi="Times New Roman" w:eastAsia="Times New Roman" w:cs="Times New Roman"/>
          <w:color w:val="111111"/>
          <w:sz w:val="23"/>
        </w:rPr>
        <w:t xml:space="preserve">    Място: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</w:t>
      </w:r>
    </w:p>
    <w:p>
      <w:pPr>
        <w:pStyle w:val="Formlabel"/>
        <w:keepNext w:val="0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Точен час: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</w:t>
      </w:r>
    </w:p>
    <w:p>
      <w:pPr>
        <w:pStyle w:val="Formlabel"/>
        <w:keepNext w:val="0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Дата на договора за наем: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</w:t>
      </w:r>
    </w:p>
    <w:p>
      <w:pPr>
        <w:pStyle w:val="Formlabel"/>
        <w:keepNext w:val="0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Характер на предаването: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</w:t>
      </w:r>
    </w:p>
    <w:p>
      <w:pPr>
        <w:pStyle w:val="Heading1"/>
        <w:pageBreakBefore w:val="0"/>
      </w:pPr>
      <w:r>
        <w:t>I. СТРАНИ И ИМОТ</w:t>
      </w:r>
    </w:p>
    <w:p>
      <w:pPr>
        <w:pStyle w:val="Heading2"/>
        <w:keepNext/>
        <w:keepLines/>
      </w:pPr>
      <w:r>
        <w:t>ПРЕДАВАЩА СТРАНА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Три имена: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ЕГН/ЛНЧ: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</w:t>
      </w:r>
      <w:r>
        <w:rPr>
          <w:rFonts w:ascii="Times New Roman" w:hAnsi="Times New Roman" w:eastAsia="Times New Roman" w:cs="Times New Roman"/>
          <w:color w:val="111111"/>
          <w:sz w:val="23"/>
        </w:rPr>
        <w:t xml:space="preserve">    Телефон: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Постоянен адрес и адрес за контакт: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 w:val="0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Електронна поща: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</w:t>
      </w:r>
    </w:p>
    <w:p>
      <w:pPr>
        <w:pStyle w:val="Formlabel"/>
        <w:keepNext w:val="0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Качество по договора за наем: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</w:t>
      </w:r>
    </w:p>
    <w:p>
      <w:pPr>
        <w:pStyle w:val="Heading2"/>
        <w:keepNext/>
        <w:keepLines/>
      </w:pPr>
      <w:r>
        <w:t>ПРИЕМАЩА СТРАНА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Три имена: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ЕГН/ЛНЧ: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</w:t>
      </w:r>
      <w:r>
        <w:rPr>
          <w:rFonts w:ascii="Times New Roman" w:hAnsi="Times New Roman" w:eastAsia="Times New Roman" w:cs="Times New Roman"/>
          <w:color w:val="111111"/>
          <w:sz w:val="23"/>
        </w:rPr>
        <w:t xml:space="preserve">    Телефон: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Постоянен адрес и адрес за контакт: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 w:val="0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Електронна поща: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</w:t>
      </w:r>
    </w:p>
    <w:p>
      <w:pPr>
        <w:pStyle w:val="Formlabel"/>
        <w:keepNext w:val="0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Качество по договора за наем: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</w:t>
      </w:r>
    </w:p>
    <w:p>
      <w:pPr>
        <w:pStyle w:val="Formlabel"/>
        <w:keepNext/>
      </w:pPr>
      <w:r>
        <w:rPr>
          <w:rFonts w:ascii="Times New Roman" w:hAnsi="Times New Roman" w:eastAsia="Times New Roman" w:cs="Times New Roman"/>
          <w:color w:val="111111"/>
          <w:sz w:val="23"/>
        </w:rPr>
        <w:t>Имот - точен адрес и кадастрален идентификатор, ако е известен: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Heading1"/>
        <w:pageBreakBefore w:val="0"/>
      </w:pPr>
      <w:r>
        <w:t>II. ПРЕДАВАНЕ НА ВЛАДЕНИЕТО</w:t>
      </w:r>
    </w:p>
    <w:p>
      <w:pPr>
        <w:keepNext w:val="0"/>
        <w:keepLines w:val="0"/>
        <w:jc w:val="left"/>
      </w:pPr>
      <w:r>
        <w:rPr>
          <w:rFonts w:ascii="Times New Roman" w:hAnsi="Times New Roman" w:eastAsia="Times New Roman" w:cs="Times New Roman"/>
          <w:b/>
          <w:color w:val="111111"/>
          <w:sz w:val="23"/>
        </w:rPr>
        <w:t xml:space="preserve">Чл. 1. </w:t>
      </w:r>
      <w:r>
        <w:rPr>
          <w:rFonts w:ascii="Times New Roman" w:hAnsi="Times New Roman" w:eastAsia="Times New Roman" w:cs="Times New Roman"/>
          <w:color w:val="111111"/>
          <w:sz w:val="23"/>
        </w:rPr>
        <w:t>На посочените дата и час Предаващата страна предаде, а Приемащата страна прие фактическото владение върху описания имот заедно с посочените по-долу ключове, вещи, показания и документи.</w:t>
      </w:r>
    </w:p>
    <w:p>
      <w:pPr>
        <w:pStyle w:val="Formlabel"/>
        <w:keepNext/>
      </w:pPr>
      <w:r>
        <w:rPr>
          <w:rFonts w:ascii="Times New Roman" w:hAnsi="Times New Roman" w:eastAsia="Times New Roman" w:cs="Times New Roman"/>
          <w:color w:val="111111"/>
          <w:sz w:val="23"/>
        </w:rPr>
        <w:t>Особености при фактическото предаване: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Heading1"/>
        <w:pageBreakBefore/>
      </w:pPr>
      <w:r>
        <w:t>III. ПОКАЗАНИЯ НА ИЗМЕРВАТЕЛНИ УРЕДИ</w:t>
      </w:r>
    </w:p>
    <w:tbl>
      <w:tblPr>
        <w:tblW w:type="dxa" w:w="9072"/>
        <w:jc w:val="left"/>
        <w:tblLayout w:type="fixed"/>
        <w:tblLook w:firstColumn="1" w:firstRow="1" w:lastColumn="0" w:lastRow="0" w:noHBand="0" w:noVBand="1" w:val="04A0"/>
        <w:tblInd w:w="0" w:type="dxa"/>
        <w:tblCellMar>
          <w:top w:w="105" w:type="dxa"/>
          <w:start w:w="120" w:type="dxa"/>
          <w:bottom w:w="105" w:type="dxa"/>
          <w:end w:w="120" w:type="dxa"/>
        </w:tblCellMar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</w:tblPr>
      <w:tblGrid>
        <w:gridCol w:w="2250"/>
        <w:gridCol w:w="1850"/>
        <w:gridCol w:w="1150"/>
        <w:gridCol w:w="1400"/>
        <w:gridCol w:w="2422"/>
      </w:tblGrid>
      <w:tr>
        <w:trPr>
          <w:trHeight w:val="510" w:hRule="atLeast"/>
          <w:tblHeader w:val="1"/>
          <w:cantSplit w:val="1"/>
        </w:trPr>
        <w:tc>
          <w:tcPr>
            <w:tcW w:type="dxa" w:w="225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21"/>
              </w:rPr>
              <w:t>Услуга/уред</w:t>
            </w:r>
          </w:p>
        </w:tc>
        <w:tc>
          <w:tcPr>
            <w:tcW w:type="dxa" w:w="185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21"/>
              </w:rPr>
              <w:t>№ уред/партида</w:t>
            </w:r>
          </w:p>
        </w:tc>
        <w:tc>
          <w:tcPr>
            <w:tcW w:type="dxa" w:w="115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21"/>
              </w:rPr>
              <w:t>Мярка</w:t>
            </w:r>
          </w:p>
        </w:tc>
        <w:tc>
          <w:tcPr>
            <w:tcW w:type="dxa" w:w="140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21"/>
              </w:rPr>
              <w:t>Показание</w:t>
            </w:r>
          </w:p>
        </w:tc>
        <w:tc>
          <w:tcPr>
            <w:tcW w:type="dxa" w:w="2422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21"/>
              </w:rPr>
              <w:t>Снимка/бележка</w:t>
            </w:r>
          </w:p>
        </w:tc>
      </w:tr>
      <w:tr>
        <w:trPr>
          <w:trHeight w:val="595" w:hRule="atLeast"/>
          <w:cantSplit w:val="1"/>
        </w:trPr>
        <w:tc>
          <w:tcPr>
            <w:tcW w:type="dxa" w:w="22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Електроенергия - дневна</w:t>
            </w:r>
          </w:p>
        </w:tc>
        <w:tc>
          <w:tcPr>
            <w:tcW w:type="dxa" w:w="18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115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kWh</w:t>
            </w:r>
          </w:p>
        </w:tc>
        <w:tc>
          <w:tcPr>
            <w:tcW w:type="dxa" w:w="140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42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595" w:hRule="atLeast"/>
          <w:cantSplit w:val="1"/>
        </w:trPr>
        <w:tc>
          <w:tcPr>
            <w:tcW w:type="dxa" w:w="22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Електроенергия - нощна</w:t>
            </w:r>
          </w:p>
        </w:tc>
        <w:tc>
          <w:tcPr>
            <w:tcW w:type="dxa" w:w="18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115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kWh</w:t>
            </w:r>
          </w:p>
        </w:tc>
        <w:tc>
          <w:tcPr>
            <w:tcW w:type="dxa" w:w="140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42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595" w:hRule="atLeast"/>
          <w:cantSplit w:val="1"/>
        </w:trPr>
        <w:tc>
          <w:tcPr>
            <w:tcW w:type="dxa" w:w="22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Студена вода</w:t>
            </w:r>
          </w:p>
        </w:tc>
        <w:tc>
          <w:tcPr>
            <w:tcW w:type="dxa" w:w="18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115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m³</w:t>
            </w:r>
          </w:p>
        </w:tc>
        <w:tc>
          <w:tcPr>
            <w:tcW w:type="dxa" w:w="140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42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595" w:hRule="atLeast"/>
          <w:cantSplit w:val="1"/>
        </w:trPr>
        <w:tc>
          <w:tcPr>
            <w:tcW w:type="dxa" w:w="22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Топла вода</w:t>
            </w:r>
          </w:p>
        </w:tc>
        <w:tc>
          <w:tcPr>
            <w:tcW w:type="dxa" w:w="18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115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m³</w:t>
            </w:r>
          </w:p>
        </w:tc>
        <w:tc>
          <w:tcPr>
            <w:tcW w:type="dxa" w:w="140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42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595" w:hRule="atLeast"/>
          <w:cantSplit w:val="1"/>
        </w:trPr>
        <w:tc>
          <w:tcPr>
            <w:tcW w:type="dxa" w:w="22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Газ</w:t>
            </w:r>
          </w:p>
        </w:tc>
        <w:tc>
          <w:tcPr>
            <w:tcW w:type="dxa" w:w="18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115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m³/kWh</w:t>
            </w:r>
          </w:p>
        </w:tc>
        <w:tc>
          <w:tcPr>
            <w:tcW w:type="dxa" w:w="140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42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595" w:hRule="atLeast"/>
          <w:cantSplit w:val="1"/>
        </w:trPr>
        <w:tc>
          <w:tcPr>
            <w:tcW w:type="dxa" w:w="22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Топломер/разпределител</w:t>
            </w:r>
          </w:p>
        </w:tc>
        <w:tc>
          <w:tcPr>
            <w:tcW w:type="dxa" w:w="18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115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140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42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595" w:hRule="atLeast"/>
          <w:cantSplit w:val="1"/>
        </w:trPr>
        <w:tc>
          <w:tcPr>
            <w:tcW w:type="dxa" w:w="22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Друго</w:t>
            </w:r>
          </w:p>
        </w:tc>
        <w:tc>
          <w:tcPr>
            <w:tcW w:type="dxa" w:w="18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115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140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42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</w:tbl>
    <w:p>
      <w:pPr>
        <w:spacing w:before="0" w:after="60"/>
      </w:pPr>
    </w:p>
    <w:p>
      <w:pPr>
        <w:pStyle w:val="Heading1"/>
        <w:pageBreakBefore w:val="0"/>
      </w:pPr>
      <w:r>
        <w:t>IV. КЛЮЧОВЕ И СРЕДСТВА ЗА ДОСТЪП</w:t>
      </w:r>
    </w:p>
    <w:tbl>
      <w:tblPr>
        <w:tblW w:type="dxa" w:w="9072"/>
        <w:jc w:val="left"/>
        <w:tblLayout w:type="fixed"/>
        <w:tblLook w:firstColumn="1" w:firstRow="1" w:lastColumn="0" w:lastRow="0" w:noHBand="0" w:noVBand="1" w:val="04A0"/>
        <w:tblInd w:w="0" w:type="dxa"/>
        <w:tblCellMar>
          <w:top w:w="105" w:type="dxa"/>
          <w:start w:w="120" w:type="dxa"/>
          <w:bottom w:w="105" w:type="dxa"/>
          <w:end w:w="120" w:type="dxa"/>
        </w:tblCellMar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</w:tblPr>
      <w:tblGrid>
        <w:gridCol w:w="2600"/>
        <w:gridCol w:w="900"/>
        <w:gridCol w:w="2350"/>
        <w:gridCol w:w="3222"/>
      </w:tblGrid>
      <w:tr>
        <w:trPr>
          <w:trHeight w:val="510" w:hRule="atLeast"/>
          <w:tblHeader w:val="1"/>
          <w:cantSplit w:val="1"/>
        </w:trPr>
        <w:tc>
          <w:tcPr>
            <w:tcW w:type="dxa" w:w="260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21"/>
              </w:rPr>
              <w:t>Вид</w:t>
            </w:r>
          </w:p>
        </w:tc>
        <w:tc>
          <w:tcPr>
            <w:tcW w:type="dxa" w:w="90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21"/>
              </w:rPr>
              <w:t>Брой</w:t>
            </w:r>
          </w:p>
        </w:tc>
        <w:tc>
          <w:tcPr>
            <w:tcW w:type="dxa" w:w="235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21"/>
              </w:rPr>
              <w:t>Идентификатор</w:t>
            </w:r>
          </w:p>
        </w:tc>
        <w:tc>
          <w:tcPr>
            <w:tcW w:type="dxa" w:w="3222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21"/>
              </w:rPr>
              <w:t>Състояние/бележка</w:t>
            </w:r>
          </w:p>
        </w:tc>
      </w:tr>
      <w:tr>
        <w:trPr>
          <w:trHeight w:val="595" w:hRule="atLeast"/>
          <w:cantSplit w:val="1"/>
        </w:trPr>
        <w:tc>
          <w:tcPr>
            <w:tcW w:type="dxa" w:w="26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Входна врата</w:t>
            </w:r>
          </w:p>
        </w:tc>
        <w:tc>
          <w:tcPr>
            <w:tcW w:type="dxa" w:w="90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322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595" w:hRule="atLeast"/>
          <w:cantSplit w:val="1"/>
        </w:trPr>
        <w:tc>
          <w:tcPr>
            <w:tcW w:type="dxa" w:w="26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Вход на сградата</w:t>
            </w:r>
          </w:p>
        </w:tc>
        <w:tc>
          <w:tcPr>
            <w:tcW w:type="dxa" w:w="90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322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595" w:hRule="atLeast"/>
          <w:cantSplit w:val="1"/>
        </w:trPr>
        <w:tc>
          <w:tcPr>
            <w:tcW w:type="dxa" w:w="26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Пощенска кутия</w:t>
            </w:r>
          </w:p>
        </w:tc>
        <w:tc>
          <w:tcPr>
            <w:tcW w:type="dxa" w:w="90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322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595" w:hRule="atLeast"/>
          <w:cantSplit w:val="1"/>
        </w:trPr>
        <w:tc>
          <w:tcPr>
            <w:tcW w:type="dxa" w:w="26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Гараж/паркомясто</w:t>
            </w:r>
          </w:p>
        </w:tc>
        <w:tc>
          <w:tcPr>
            <w:tcW w:type="dxa" w:w="90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322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595" w:hRule="atLeast"/>
          <w:cantSplit w:val="1"/>
        </w:trPr>
        <w:tc>
          <w:tcPr>
            <w:tcW w:type="dxa" w:w="26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Чип/карта/</w:t>
              <w:br/>
              <w:t>дистанционно</w:t>
            </w:r>
          </w:p>
        </w:tc>
        <w:tc>
          <w:tcPr>
            <w:tcW w:type="dxa" w:w="90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322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595" w:hRule="atLeast"/>
          <w:cantSplit w:val="1"/>
        </w:trPr>
        <w:tc>
          <w:tcPr>
            <w:tcW w:type="dxa" w:w="26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Друго</w:t>
            </w:r>
          </w:p>
        </w:tc>
        <w:tc>
          <w:tcPr>
            <w:tcW w:type="dxa" w:w="90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322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</w:tbl>
    <w:p>
      <w:pPr>
        <w:spacing w:before="0" w:after="60"/>
      </w:pPr>
    </w:p>
    <w:p>
      <w:pPr>
        <w:pStyle w:val="Heading1"/>
        <w:pageBreakBefore w:val="0"/>
      </w:pPr>
      <w:r>
        <w:t>V. ВИДИМО СЪСТОЯНИЕ НА ИМОТА</w:t>
      </w:r>
    </w:p>
    <w:tbl>
      <w:tblPr>
        <w:tblW w:type="dxa" w:w="9072"/>
        <w:jc w:val="left"/>
        <w:tblLayout w:type="fixed"/>
        <w:tblLook w:firstColumn="1" w:firstRow="1" w:lastColumn="0" w:lastRow="0" w:noHBand="0" w:noVBand="1" w:val="04A0"/>
        <w:tblInd w:w="0" w:type="dxa"/>
        <w:tblCellMar>
          <w:top w:w="105" w:type="dxa"/>
          <w:start w:w="120" w:type="dxa"/>
          <w:bottom w:w="105" w:type="dxa"/>
          <w:end w:w="120" w:type="dxa"/>
        </w:tblCellMar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</w:tblPr>
      <w:tblGrid>
        <w:gridCol w:w="2350"/>
        <w:gridCol w:w="2850"/>
        <w:gridCol w:w="3872"/>
      </w:tblGrid>
      <w:tr>
        <w:trPr>
          <w:trHeight w:val="510" w:hRule="atLeast"/>
          <w:tblHeader w:val="1"/>
          <w:cantSplit w:val="1"/>
        </w:trPr>
        <w:tc>
          <w:tcPr>
            <w:tcW w:type="dxa" w:w="235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21"/>
              </w:rPr>
              <w:t>Помещение/елемент</w:t>
            </w:r>
          </w:p>
        </w:tc>
        <w:tc>
          <w:tcPr>
            <w:tcW w:type="dxa" w:w="285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21"/>
              </w:rPr>
              <w:t>Видимо състояние</w:t>
            </w:r>
          </w:p>
        </w:tc>
        <w:tc>
          <w:tcPr>
            <w:tcW w:type="dxa" w:w="3872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21"/>
              </w:rPr>
              <w:t>Дефект/местоположение/снимка</w:t>
            </w:r>
          </w:p>
        </w:tc>
      </w:tr>
      <w:tr>
        <w:trPr>
          <w:trHeight w:val="765" w:hRule="atLeast"/>
          <w:cantSplit w:val="1"/>
        </w:trPr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Вход/антре</w:t>
            </w:r>
          </w:p>
        </w:tc>
        <w:tc>
          <w:tcPr>
            <w:tcW w:type="dxa" w:w="28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38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765" w:hRule="atLeast"/>
          <w:cantSplit w:val="1"/>
        </w:trPr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Дневна</w:t>
            </w:r>
          </w:p>
        </w:tc>
        <w:tc>
          <w:tcPr>
            <w:tcW w:type="dxa" w:w="28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38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765" w:hRule="atLeast"/>
          <w:cantSplit w:val="1"/>
        </w:trPr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Спалня/и</w:t>
            </w:r>
          </w:p>
        </w:tc>
        <w:tc>
          <w:tcPr>
            <w:tcW w:type="dxa" w:w="28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38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765" w:hRule="atLeast"/>
          <w:cantSplit w:val="1"/>
        </w:trPr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Кухня</w:t>
            </w:r>
          </w:p>
        </w:tc>
        <w:tc>
          <w:tcPr>
            <w:tcW w:type="dxa" w:w="28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38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765" w:hRule="atLeast"/>
          <w:cantSplit w:val="1"/>
        </w:trPr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Баня/тоалетна</w:t>
            </w:r>
          </w:p>
        </w:tc>
        <w:tc>
          <w:tcPr>
            <w:tcW w:type="dxa" w:w="28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38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765" w:hRule="atLeast"/>
          <w:cantSplit w:val="1"/>
        </w:trPr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Балкон/тераса</w:t>
            </w:r>
          </w:p>
        </w:tc>
        <w:tc>
          <w:tcPr>
            <w:tcW w:type="dxa" w:w="28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38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765" w:hRule="atLeast"/>
          <w:cantSplit w:val="1"/>
        </w:trPr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Стени, тавани и подове</w:t>
            </w:r>
          </w:p>
        </w:tc>
        <w:tc>
          <w:tcPr>
            <w:tcW w:type="dxa" w:w="28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38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765" w:hRule="atLeast"/>
          <w:cantSplit w:val="1"/>
        </w:trPr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Врати, прозорци и дограма</w:t>
            </w:r>
          </w:p>
        </w:tc>
        <w:tc>
          <w:tcPr>
            <w:tcW w:type="dxa" w:w="28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38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765" w:hRule="atLeast"/>
          <w:cantSplit w:val="1"/>
        </w:trPr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Ел., ВиК, отопление и уреди</w:t>
            </w:r>
          </w:p>
        </w:tc>
        <w:tc>
          <w:tcPr>
            <w:tcW w:type="dxa" w:w="28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38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765" w:hRule="atLeast"/>
          <w:cantSplit w:val="1"/>
        </w:trPr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Друго</w:t>
            </w:r>
          </w:p>
        </w:tc>
        <w:tc>
          <w:tcPr>
            <w:tcW w:type="dxa" w:w="28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38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</w:tbl>
    <w:p>
      <w:pPr>
        <w:spacing w:before="0" w:after="60"/>
      </w:pPr>
    </w:p>
    <w:p>
      <w:pPr>
        <w:pStyle w:val="Formlabel"/>
        <w:keepNext/>
      </w:pPr>
      <w:r>
        <w:rPr>
          <w:rFonts w:ascii="Times New Roman" w:hAnsi="Times New Roman" w:eastAsia="Times New Roman" w:cs="Times New Roman"/>
          <w:color w:val="111111"/>
          <w:sz w:val="23"/>
        </w:rPr>
        <w:t>Подробно описание на състоянието и видимите дефекти: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Heading1"/>
        <w:pageBreakBefore w:val="0"/>
      </w:pPr>
      <w:r>
        <w:t>VI. МЕБЕЛИ, ТЕХНИКА И ДРУГИ ВЕЩИ</w:t>
      </w:r>
    </w:p>
    <w:tbl>
      <w:tblPr>
        <w:tblW w:type="dxa" w:w="9072"/>
        <w:jc w:val="left"/>
        <w:tblLayout w:type="fixed"/>
        <w:tblLook w:firstColumn="1" w:firstRow="1" w:lastColumn="0" w:lastRow="0" w:noHBand="0" w:noVBand="1" w:val="04A0"/>
        <w:tblInd w:w="0" w:type="dxa"/>
        <w:tblCellMar>
          <w:top w:w="105" w:type="dxa"/>
          <w:start w:w="120" w:type="dxa"/>
          <w:bottom w:w="105" w:type="dxa"/>
          <w:end w:w="120" w:type="dxa"/>
        </w:tblCellMar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</w:tblPr>
      <w:tblGrid>
        <w:gridCol w:w="3400"/>
        <w:gridCol w:w="850"/>
        <w:gridCol w:w="2350"/>
        <w:gridCol w:w="2472"/>
      </w:tblGrid>
      <w:tr>
        <w:trPr>
          <w:trHeight w:val="510" w:hRule="atLeast"/>
          <w:tblHeader w:val="1"/>
          <w:cantSplit w:val="1"/>
        </w:trPr>
        <w:tc>
          <w:tcPr>
            <w:tcW w:type="dxa" w:w="340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21"/>
              </w:rPr>
              <w:t>Вещ, марка, модел</w:t>
              <w:br/>
              <w:t>и сериен №</w:t>
            </w:r>
          </w:p>
        </w:tc>
        <w:tc>
          <w:tcPr>
            <w:tcW w:type="dxa" w:w="85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21"/>
              </w:rPr>
              <w:t>Брой</w:t>
            </w:r>
          </w:p>
        </w:tc>
        <w:tc>
          <w:tcPr>
            <w:tcW w:type="dxa" w:w="235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21"/>
              </w:rPr>
              <w:t>Видимо състояние</w:t>
            </w:r>
          </w:p>
        </w:tc>
        <w:tc>
          <w:tcPr>
            <w:tcW w:type="dxa" w:w="2472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21"/>
              </w:rPr>
              <w:t>Бележка/снимка</w:t>
            </w:r>
          </w:p>
        </w:tc>
      </w:tr>
      <w:tr>
        <w:trPr>
          <w:trHeight w:val="737" w:hRule="atLeast"/>
          <w:cantSplit w:val="1"/>
        </w:trPr>
        <w:tc>
          <w:tcPr>
            <w:tcW w:type="dxa" w:w="34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85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4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34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85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4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34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85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4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34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85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4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34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85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4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34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85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4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34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85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4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34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85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4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34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85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4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34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85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4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</w:tbl>
    <w:p>
      <w:pPr>
        <w:spacing w:before="0" w:after="60"/>
      </w:pPr>
    </w:p>
    <w:p>
      <w:pPr>
        <w:pStyle w:val="Heading1"/>
        <w:pageBreakBefore w:val="0"/>
      </w:pPr>
      <w:r>
        <w:t>VII. СНИМКОВ ИНДЕКС</w:t>
      </w:r>
    </w:p>
    <w:p>
      <w:pPr>
        <w:pStyle w:val="Formlabel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Общ брой снимки: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</w:t>
      </w:r>
      <w:r>
        <w:rPr>
          <w:rFonts w:ascii="Times New Roman" w:hAnsi="Times New Roman" w:eastAsia="Times New Roman" w:cs="Times New Roman"/>
          <w:color w:val="111111"/>
          <w:sz w:val="23"/>
        </w:rPr>
        <w:t xml:space="preserve">    Дата: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</w:t>
      </w:r>
    </w:p>
    <w:p>
      <w:pPr>
        <w:pStyle w:val="Formlabel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Начален точен час: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</w:t>
      </w:r>
      <w:r>
        <w:rPr>
          <w:rFonts w:ascii="Times New Roman" w:hAnsi="Times New Roman" w:eastAsia="Times New Roman" w:cs="Times New Roman"/>
          <w:color w:val="111111"/>
          <w:sz w:val="23"/>
        </w:rPr>
        <w:t xml:space="preserve">    Краен точен час: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</w:t>
      </w:r>
    </w:p>
    <w:p>
      <w:pPr>
        <w:pStyle w:val="Formlabel"/>
        <w:keepNext w:val="0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Носител/начин на предаване и споделяне между Страните: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</w:t>
      </w:r>
    </w:p>
    <w:tbl>
      <w:tblPr>
        <w:tblW w:type="dxa" w:w="9072"/>
        <w:jc w:val="left"/>
        <w:tblLayout w:type="fixed"/>
        <w:tblLook w:firstColumn="1" w:firstRow="1" w:lastColumn="0" w:lastRow="0" w:noHBand="0" w:noVBand="1" w:val="04A0"/>
        <w:tblInd w:w="0" w:type="dxa"/>
        <w:tblCellMar>
          <w:top w:w="105" w:type="dxa"/>
          <w:start w:w="120" w:type="dxa"/>
          <w:bottom w:w="105" w:type="dxa"/>
          <w:end w:w="120" w:type="dxa"/>
        </w:tblCellMar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</w:tblPr>
      <w:tblGrid>
        <w:gridCol w:w="2750"/>
        <w:gridCol w:w="3772"/>
        <w:gridCol w:w="2550"/>
      </w:tblGrid>
      <w:tr>
        <w:trPr>
          <w:trHeight w:val="510" w:hRule="atLeast"/>
          <w:tblHeader w:val="1"/>
          <w:cantSplit w:val="1"/>
        </w:trPr>
        <w:tc>
          <w:tcPr>
            <w:tcW w:type="dxa" w:w="275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21"/>
              </w:rPr>
              <w:t>Име/№ на файл</w:t>
            </w:r>
          </w:p>
        </w:tc>
        <w:tc>
          <w:tcPr>
            <w:tcW w:type="dxa" w:w="3772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21"/>
              </w:rPr>
              <w:t>Какво е заснето</w:t>
            </w:r>
          </w:p>
        </w:tc>
        <w:tc>
          <w:tcPr>
            <w:tcW w:type="dxa" w:w="255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21"/>
              </w:rPr>
              <w:t>Дата и точен час</w:t>
            </w:r>
          </w:p>
        </w:tc>
      </w:tr>
      <w:tr>
        <w:trPr>
          <w:trHeight w:val="624" w:hRule="atLeast"/>
          <w:cantSplit w:val="1"/>
        </w:trPr>
        <w:tc>
          <w:tcPr>
            <w:tcW w:type="dxa" w:w="27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37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624" w:hRule="atLeast"/>
          <w:cantSplit w:val="1"/>
        </w:trPr>
        <w:tc>
          <w:tcPr>
            <w:tcW w:type="dxa" w:w="27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37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624" w:hRule="atLeast"/>
          <w:cantSplit w:val="1"/>
        </w:trPr>
        <w:tc>
          <w:tcPr>
            <w:tcW w:type="dxa" w:w="27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37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624" w:hRule="atLeast"/>
          <w:cantSplit w:val="1"/>
        </w:trPr>
        <w:tc>
          <w:tcPr>
            <w:tcW w:type="dxa" w:w="27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37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624" w:hRule="atLeast"/>
          <w:cantSplit w:val="1"/>
        </w:trPr>
        <w:tc>
          <w:tcPr>
            <w:tcW w:type="dxa" w:w="27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37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624" w:hRule="atLeast"/>
          <w:cantSplit w:val="1"/>
        </w:trPr>
        <w:tc>
          <w:tcPr>
            <w:tcW w:type="dxa" w:w="27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37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624" w:hRule="atLeast"/>
          <w:cantSplit w:val="1"/>
        </w:trPr>
        <w:tc>
          <w:tcPr>
            <w:tcW w:type="dxa" w:w="27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37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624" w:hRule="atLeast"/>
          <w:cantSplit w:val="1"/>
        </w:trPr>
        <w:tc>
          <w:tcPr>
            <w:tcW w:type="dxa" w:w="27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37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</w:tbl>
    <w:p>
      <w:pPr>
        <w:spacing w:before="0" w:after="60"/>
      </w:pPr>
    </w:p>
    <w:p>
      <w:pPr>
        <w:keepNext w:val="0"/>
        <w:keepLines w:val="0"/>
        <w:jc w:val="left"/>
      </w:pPr>
      <w:r>
        <w:rPr>
          <w:rFonts w:ascii="Times New Roman" w:hAnsi="Times New Roman" w:eastAsia="Times New Roman" w:cs="Times New Roman"/>
          <w:b/>
          <w:color w:val="111111"/>
          <w:sz w:val="23"/>
        </w:rPr>
        <w:t xml:space="preserve">Чл. 2. </w:t>
      </w:r>
      <w:r>
        <w:rPr>
          <w:rFonts w:ascii="Times New Roman" w:hAnsi="Times New Roman" w:eastAsia="Times New Roman" w:cs="Times New Roman"/>
          <w:color w:val="111111"/>
          <w:sz w:val="23"/>
        </w:rPr>
        <w:t>Снимковият материал е предоставен по начин, който осигурява достъп и на двете Страни.</w:t>
      </w:r>
    </w:p>
    <w:p>
      <w:pPr>
        <w:pStyle w:val="Heading1"/>
        <w:pageBreakBefore w:val="0"/>
      </w:pPr>
      <w:r>
        <w:t>VIII. ДАННИ ПРИ ОКОНЧАТЕЛНО ВРЪЩАНЕ</w:t>
      </w:r>
    </w:p>
    <w:p>
      <w:pPr>
        <w:pStyle w:val="Formlabel"/>
        <w:keepNext/>
      </w:pPr>
      <w:r>
        <w:rPr>
          <w:rFonts w:ascii="Times New Roman" w:hAnsi="Times New Roman" w:eastAsia="Times New Roman" w:cs="Times New Roman"/>
          <w:color w:val="111111"/>
          <w:sz w:val="23"/>
        </w:rPr>
        <w:t>Неплатен наем - период, основание и сума: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</w:pPr>
      <w:r>
        <w:rPr>
          <w:rFonts w:ascii="Times New Roman" w:hAnsi="Times New Roman" w:eastAsia="Times New Roman" w:cs="Times New Roman"/>
          <w:color w:val="111111"/>
          <w:sz w:val="23"/>
        </w:rPr>
        <w:t>Неуредени консумативи - услуга, период и известна/прогнозна сума: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</w:pPr>
      <w:r>
        <w:rPr>
          <w:rFonts w:ascii="Times New Roman" w:hAnsi="Times New Roman" w:eastAsia="Times New Roman" w:cs="Times New Roman"/>
          <w:color w:val="111111"/>
          <w:sz w:val="23"/>
        </w:rPr>
        <w:t>Твърдяна вреда - описание, доказателство и стойност: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 w:val="0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Безспорна сума: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</w:t>
      </w:r>
    </w:p>
    <w:p>
      <w:pPr>
        <w:pStyle w:val="Formlabel"/>
        <w:keepNext w:val="0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Спорна сума: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</w:t>
      </w:r>
    </w:p>
    <w:p>
      <w:pPr>
        <w:pStyle w:val="Formlabel"/>
        <w:keepNext w:val="0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Разумен резерв за неиздадени окончателни сметки: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</w:t>
      </w:r>
    </w:p>
    <w:p>
      <w:pPr>
        <w:pStyle w:val="Formlabel"/>
        <w:keepNext w:val="0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Срок за окончателно уреждане след получаване на сметките: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</w:t>
      </w:r>
    </w:p>
    <w:p>
      <w:pPr>
        <w:keepNext w:val="0"/>
        <w:keepLines w:val="0"/>
        <w:jc w:val="left"/>
      </w:pPr>
      <w:r>
        <w:rPr>
          <w:rFonts w:ascii="Times New Roman" w:hAnsi="Times New Roman" w:eastAsia="Times New Roman" w:cs="Times New Roman"/>
          <w:b/>
          <w:color w:val="111111"/>
          <w:sz w:val="23"/>
        </w:rPr>
        <w:t xml:space="preserve">Чл. 3. </w:t>
      </w:r>
      <w:r>
        <w:rPr>
          <w:rFonts w:ascii="Times New Roman" w:hAnsi="Times New Roman" w:eastAsia="Times New Roman" w:cs="Times New Roman"/>
          <w:color w:val="111111"/>
          <w:sz w:val="23"/>
        </w:rPr>
        <w:t>Вписването на претенция или сума в този протокол не представлява нейното признаване, освен ако съответната позиция е изрично отбелязана като безспорна и е подписана от двете Страни. Подписът удостоверява предаването и описаните фактически наблюдения.</w:t>
      </w:r>
    </w:p>
    <w:p>
      <w:pPr>
        <w:pStyle w:val="Formlabel"/>
        <w:keepNext/>
      </w:pPr>
      <w:r>
        <w:rPr>
          <w:rFonts w:ascii="Times New Roman" w:hAnsi="Times New Roman" w:eastAsia="Times New Roman" w:cs="Times New Roman"/>
          <w:color w:val="111111"/>
          <w:sz w:val="23"/>
        </w:rPr>
        <w:t>Други възражения и уговорки: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keepNext/>
        <w:keepLines/>
        <w:jc w:val="left"/>
      </w:pPr>
      <w:r>
        <w:rPr>
          <w:rFonts w:ascii="Times New Roman" w:hAnsi="Times New Roman" w:eastAsia="Times New Roman" w:cs="Times New Roman"/>
          <w:b/>
          <w:color w:val="111111"/>
          <w:sz w:val="23"/>
        </w:rPr>
        <w:t xml:space="preserve">Чл. 4. </w:t>
      </w:r>
      <w:r>
        <w:rPr>
          <w:rFonts w:ascii="Times New Roman" w:hAnsi="Times New Roman" w:eastAsia="Times New Roman" w:cs="Times New Roman"/>
          <w:color w:val="111111"/>
          <w:sz w:val="23"/>
        </w:rPr>
        <w:t>Допълнителните листове и приложения са последователно номерирани, посочват към коя част се отнасят и се подписват или парафират на всяка страница от страните, за които се отнасят.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Приложени допълнителни листове - наименование и брой страници: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 w:val="0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keepNext w:val="0"/>
        <w:keepLines w:val="0"/>
        <w:jc w:val="left"/>
      </w:pPr>
      <w:r>
        <w:rPr>
          <w:rFonts w:ascii="Times New Roman" w:hAnsi="Times New Roman" w:eastAsia="Times New Roman" w:cs="Times New Roman"/>
          <w:b/>
          <w:color w:val="111111"/>
          <w:sz w:val="23"/>
        </w:rPr>
        <w:t xml:space="preserve">Чл. 5. </w:t>
      </w:r>
      <w:r>
        <w:rPr>
          <w:rFonts w:ascii="Times New Roman" w:hAnsi="Times New Roman" w:eastAsia="Times New Roman" w:cs="Times New Roman"/>
          <w:color w:val="111111"/>
          <w:sz w:val="23"/>
        </w:rPr>
        <w:t>Протоколът се подписва в два еднообразни оригинални екземпляра - по един за всяка Страна.</w:t>
      </w:r>
    </w:p>
    <w:p>
      <w:pPr>
        <w:pStyle w:val="Heading1"/>
        <w:pageBreakBefore w:val="0"/>
      </w:pPr>
      <w:r>
        <w:t>IX. ПОДПИСИ</w:t>
      </w:r>
    </w:p>
    <w:p>
      <w:pPr>
        <w:pStyle w:val="Heading2"/>
        <w:keepNext/>
        <w:keepLines/>
      </w:pPr>
      <w:r>
        <w:t>ПРЕДАВАЩА СТРАНА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Име: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</w:t>
      </w:r>
    </w:p>
    <w:p>
      <w:pPr>
        <w:pStyle w:val="Formlabel"/>
        <w:keepNext w:val="0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Дата: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</w:t>
      </w:r>
      <w:r>
        <w:rPr>
          <w:rFonts w:ascii="Times New Roman" w:hAnsi="Times New Roman" w:eastAsia="Times New Roman" w:cs="Times New Roman"/>
          <w:color w:val="111111"/>
          <w:sz w:val="23"/>
        </w:rPr>
        <w:t xml:space="preserve">    Подпис: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</w:t>
      </w:r>
    </w:p>
    <w:p>
      <w:pPr>
        <w:pStyle w:val="Heading2"/>
        <w:keepNext/>
        <w:keepLines/>
      </w:pPr>
      <w:r>
        <w:t>ПРИЕМАЩА СТРАНА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Име: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</w:t>
      </w:r>
    </w:p>
    <w:p>
      <w:pPr>
        <w:pStyle w:val="Formlabel"/>
        <w:keepNext w:val="0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Дата: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</w:t>
      </w:r>
      <w:r>
        <w:rPr>
          <w:rFonts w:ascii="Times New Roman" w:hAnsi="Times New Roman" w:eastAsia="Times New Roman" w:cs="Times New Roman"/>
          <w:color w:val="111111"/>
          <w:sz w:val="23"/>
        </w:rPr>
        <w:t xml:space="preserve">    Подпис: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</w:t>
      </w:r>
    </w:p>
    <w:sectPr w:rsidR="00FC693F" w:rsidRPr="0006063C" w:rsidSect="00034616">
      <w:footerReference w:type="default" r:id="rId9"/>
      <w:pgSz w:w="11906" w:h="16838"/>
      <w:pgMar w:top="1417" w:right="1417" w:bottom="1361" w:left="141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center"/>
    </w:pPr>
    <w:r>
      <w:rPr>
        <w:rFonts w:ascii="Times New Roman" w:hAnsi="Times New Roman" w:eastAsia="Times New Roman" w:cs="Times New Roman"/>
        <w:color w:val="555555"/>
        <w:sz w:val="17"/>
      </w:rPr>
      <w:t xml:space="preserve">IMOTNO.bg · Версия 2.0 · Страница </w:t>
    </w:r>
    <w:fldSimple w:instr="PAGE">
      <w:r>
        <w:rPr>
          <w:rFonts w:ascii="Times New Roman" w:hAnsi="Times New Roman" w:eastAsia="Times New Roman" w:cs="Times New Roman"/>
          <w:color w:val="555555"/>
          <w:sz w:val="17"/>
        </w:rPr>
        <w:t>1</w:t>
      </w:r>
    </w:fldSimple>
    <w:r>
      <w:rPr>
        <w:rFonts w:ascii="Times New Roman" w:hAnsi="Times New Roman" w:eastAsia="Times New Roman" w:cs="Times New Roman"/>
        <w:color w:val="555555"/>
        <w:sz w:val="17"/>
      </w:rPr>
      <w:t xml:space="preserve"> от </w:t>
    </w:r>
    <w:fldSimple w:instr="NUMPAGES">
      <w:r>
        <w:rPr>
          <w:rFonts w:ascii="Times New Roman" w:hAnsi="Times New Roman" w:eastAsia="Times New Roman" w:cs="Times New Roman"/>
          <w:color w:val="555555"/>
          <w:sz w:val="17"/>
        </w:rPr>
        <w:t>1</w:t>
      </w:r>
    </w:fldSimple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70" w:line="259" w:lineRule="auto"/>
      <w:jc w:val="left"/>
    </w:pPr>
    <w:rPr>
      <w:rFonts w:ascii="Times New Roman" w:hAnsi="Times New Roman" w:eastAsia="Times New Roman" w:cs="Times New Roman"/>
      <w:b w:val="0"/>
      <w:i w:val="0"/>
      <w:color w:val="111111"/>
      <w:sz w:val="23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160" w:after="80" w:line="240" w:lineRule="auto"/>
      <w:jc w:val="center"/>
      <w:outlineLvl w:val="0"/>
    </w:pPr>
    <w:rPr>
      <w:rFonts w:ascii="Times New Roman" w:hAnsi="Times New Roman" w:eastAsia="Times New Roman" w:cs="Times New Roman"/>
      <w:b/>
      <w:bCs/>
      <w:i w:val="0"/>
      <w:color w:val="000000"/>
      <w:sz w:val="23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20" w:after="60" w:line="240" w:lineRule="auto"/>
      <w:jc w:val="left"/>
      <w:outlineLvl w:val="1"/>
    </w:pPr>
    <w:rPr>
      <w:rFonts w:ascii="Times New Roman" w:hAnsi="Times New Roman" w:eastAsia="Times New Roman" w:cs="Times New Roman"/>
      <w:b/>
      <w:bCs/>
      <w:i w:val="0"/>
      <w:color w:val="000000"/>
      <w:sz w:val="23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keepLines/>
      <w:widowControl/>
      <w:spacing w:after="80" w:line="240" w:lineRule="auto" w:before="0"/>
      <w:contextualSpacing/>
      <w:jc w:val="center"/>
    </w:pPr>
    <w:rPr>
      <w:rFonts w:ascii="Times New Roman" w:hAnsi="Times New Roman" w:eastAsia="Times New Roman" w:cs="Times New Roman"/>
      <w:b/>
      <w:i w:val="0"/>
      <w:color w:val="000000"/>
      <w:spacing w:val="5"/>
      <w:kern w:val="28"/>
      <w:sz w:val="31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keepLines/>
      <w:widowControl/>
      <w:numPr>
        <w:ilvl w:val="1"/>
      </w:numPr>
      <w:spacing w:before="0" w:after="140" w:line="240" w:lineRule="auto"/>
      <w:jc w:val="center"/>
    </w:pPr>
    <w:rPr>
      <w:rFonts w:ascii="Times New Roman" w:hAnsi="Times New Roman" w:eastAsia="Times New Roman" w:cs="Times New Roman"/>
      <w:b w:val="0"/>
      <w:i w:val="0"/>
      <w:iCs/>
      <w:color w:val="555555"/>
      <w:spacing w:val="15"/>
      <w:sz w:val="21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ormlabel">
    <w:name w:val="Form label"/>
    <w:pPr>
      <w:keepNext w:val="0"/>
      <w:keepLines w:val="0"/>
      <w:widowControl/>
      <w:spacing w:before="0" w:after="60" w:line="245" w:lineRule="auto"/>
      <w:jc w:val="left"/>
    </w:pPr>
    <w:rPr>
      <w:rFonts w:ascii="Times New Roman" w:hAnsi="Times New Roman" w:eastAsia="Times New Roman" w:cs="Times New Roman"/>
      <w:b w:val="0"/>
      <w:i w:val="0"/>
      <w:color w:val="111111"/>
      <w:sz w:val="23"/>
      <w:u w:val="non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Приемо-предавателен протокол към договор за наем</dc:title>
  <dc:subject>Протокол за първоначално предаване или окончателно връщане на жилищен имот</dc:subject>
  <dc:creator>IMOTNO</dc:creator>
  <cp:keywords>недвижим имот; договор; протокол; образец; България</cp:keywords>
  <dc:description>Версия 2.0. Общ образец; не представлява индивидуален правен съвет.</dc:description>
  <cp:lastModifiedBy>IMOTNO</cp:lastModifiedBy>
  <cp:revision>1</cp:revision>
  <dcterms:created xsi:type="dcterms:W3CDTF">2026-08-21T00:00:00Z</dcterms:created>
  <dcterms:modified xsi:type="dcterms:W3CDTF">2026-08-21T00:00:00Z</dcterms:modified>
  <cp:category>Образци за сделки и наем на недвижими имоти</cp:category>
</cp:coreProperties>
</file>