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КОНТРОЛЕН ЛИСТ ЗА ПРЕДВАРИТЕЛНА ПРОВЕРКА</w:t>
        <w:br/>
        <w:t>ПРИ ПОКУПКА НА НЕДВИЖИМ ИМОТ</w:t>
      </w:r>
    </w:p>
    <w:p>
      <w:pPr>
        <w:pStyle w:val="Formlabel"/>
        <w:keepNext/>
      </w:pPr>
      <w:r>
        <w:rPr>
          <w:rFonts w:ascii="Times New Roman" w:hAnsi="Times New Roman" w:eastAsia="Times New Roman" w:cs="Times New Roman"/>
          <w:color w:val="111111"/>
          <w:sz w:val="23"/>
        </w:rPr>
        <w:t>Имот/точен адрес: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Кадастрален идентификатор: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</w:t>
      </w:r>
    </w:p>
    <w:p>
      <w:pPr>
        <w:pStyle w:val="Formlabel"/>
        <w:keepNext/>
      </w:pPr>
      <w:r>
        <w:rPr>
          <w:rFonts w:ascii="Times New Roman" w:hAnsi="Times New Roman" w:eastAsia="Times New Roman" w:cs="Times New Roman"/>
          <w:color w:val="111111"/>
          <w:sz w:val="23"/>
        </w:rPr>
        <w:t>Продавачи: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Купувач/вътрешна референция: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Дата на последно актуализиране: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</w:t>
      </w:r>
    </w:p>
    <w:p>
      <w:pPr>
        <w:pStyle w:val="Heading1"/>
        <w:pageBreakBefore w:val="0"/>
      </w:pPr>
      <w:r>
        <w:t>I. СТРАНИ И ПРЕДСТАВИТЕЛНА ВЛАСТ</w:t>
      </w:r>
    </w:p>
    <w:tbl>
      <w:tblPr>
        <w:tblW w:type="dxa" w:w="9072"/>
        <w:jc w:val="left"/>
        <w:tblLayout w:type="fixed"/>
        <w:tblLook w:firstColumn="1" w:firstRow="1" w:lastColumn="0" w:lastRow="0" w:noHBand="0" w:noVBand="1" w:val="04A0"/>
        <w:tblInd w:w="0" w:type="dxa"/>
        <w:tblCellMar>
          <w:top w:w="105" w:type="dxa"/>
          <w:start w:w="120" w:type="dxa"/>
          <w:bottom w:w="105" w:type="dxa"/>
          <w:end w:w="120" w:type="dxa"/>
        </w:tblCellMar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</w:tblPr>
      <w:tblGrid>
        <w:gridCol w:w="2550"/>
        <w:gridCol w:w="2350"/>
        <w:gridCol w:w="1800"/>
        <w:gridCol w:w="2372"/>
      </w:tblGrid>
      <w:tr>
        <w:trPr>
          <w:trHeight w:val="510" w:hRule="atLeast"/>
          <w:tblHeader w:val="1"/>
          <w:cantSplit w:val="1"/>
        </w:trPr>
        <w:tc>
          <w:tcPr>
            <w:tcW w:type="dxa" w:w="255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19"/>
              </w:rPr>
              <w:t>Предмет</w:t>
            </w:r>
          </w:p>
        </w:tc>
        <w:tc>
          <w:tcPr>
            <w:tcW w:type="dxa" w:w="235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19"/>
              </w:rPr>
              <w:t>Документ или официален източник</w:t>
            </w:r>
          </w:p>
        </w:tc>
        <w:tc>
          <w:tcPr>
            <w:tcW w:type="dxa" w:w="180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19"/>
              </w:rPr>
              <w:t>Номер, дата и обхват</w:t>
            </w:r>
          </w:p>
        </w:tc>
        <w:tc>
          <w:tcPr>
            <w:tcW w:type="dxa" w:w="2372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19"/>
              </w:rPr>
              <w:t>Констатация или нерешен въпрос</w:t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Самоличност или регистрационни данни на всеки Продавач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Самоличност или регистрационни данни на Купувача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Представителна власт - основание, обхват, срок и оттегляне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Решения на органи на юридическо лице, когато са относими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Дееспособност, настойничество или попечителство и съдебно разрешение, когато са относими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</w:tbl>
    <w:p>
      <w:pPr>
        <w:spacing w:before="0" w:after="60"/>
      </w:pPr>
    </w:p>
    <w:p>
      <w:pPr>
        <w:pStyle w:val="Heading1"/>
        <w:pageBreakBefore w:val="0"/>
      </w:pPr>
      <w:r>
        <w:t>II. СОБСТВЕНОСТ И ПРАВНА ВЕРИГА</w:t>
      </w:r>
    </w:p>
    <w:tbl>
      <w:tblPr>
        <w:tblW w:type="dxa" w:w="9072"/>
        <w:jc w:val="left"/>
        <w:tblLayout w:type="fixed"/>
        <w:tblLook w:firstColumn="1" w:firstRow="1" w:lastColumn="0" w:lastRow="0" w:noHBand="0" w:noVBand="1" w:val="04A0"/>
        <w:tblInd w:w="0" w:type="dxa"/>
        <w:tblCellMar>
          <w:top w:w="105" w:type="dxa"/>
          <w:start w:w="120" w:type="dxa"/>
          <w:bottom w:w="105" w:type="dxa"/>
          <w:end w:w="120" w:type="dxa"/>
        </w:tblCellMar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</w:tblPr>
      <w:tblGrid>
        <w:gridCol w:w="2550"/>
        <w:gridCol w:w="2350"/>
        <w:gridCol w:w="1800"/>
        <w:gridCol w:w="2372"/>
      </w:tblGrid>
      <w:tr>
        <w:trPr>
          <w:trHeight w:val="510" w:hRule="atLeast"/>
          <w:tblHeader w:val="1"/>
          <w:cantSplit w:val="1"/>
        </w:trPr>
        <w:tc>
          <w:tcPr>
            <w:tcW w:type="dxa" w:w="255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19"/>
              </w:rPr>
              <w:t>Предмет</w:t>
            </w:r>
          </w:p>
        </w:tc>
        <w:tc>
          <w:tcPr>
            <w:tcW w:type="dxa" w:w="235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19"/>
              </w:rPr>
              <w:t>Документ или официален източник</w:t>
            </w:r>
          </w:p>
        </w:tc>
        <w:tc>
          <w:tcPr>
            <w:tcW w:type="dxa" w:w="180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19"/>
              </w:rPr>
              <w:t>Номер, дата и обхват</w:t>
            </w:r>
          </w:p>
        </w:tc>
        <w:tc>
          <w:tcPr>
            <w:tcW w:type="dxa" w:w="2372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19"/>
              </w:rPr>
              <w:t>Констатация или нерешен въпрос</w:t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Текущ документ за собственост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Предходни придобивни основания и непрекъснатост на правната верига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Съответствие между носителя на правото и Продавача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Точен вид и обем на прехвърляното право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Наследство, делба, реституция или съдебно решение, когато са относими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</w:tbl>
    <w:p>
      <w:pPr>
        <w:spacing w:before="0" w:after="60"/>
      </w:pPr>
    </w:p>
    <w:p>
      <w:pPr>
        <w:pStyle w:val="Heading1"/>
        <w:pageBreakBefore w:val="0"/>
      </w:pPr>
      <w:r>
        <w:t>III. СЪСОБСТВЕНОСТ И СЕМЕЙНИ ОТНОШЕНИЯ</w:t>
      </w:r>
    </w:p>
    <w:tbl>
      <w:tblPr>
        <w:tblW w:type="dxa" w:w="9072"/>
        <w:jc w:val="left"/>
        <w:tblLayout w:type="fixed"/>
        <w:tblLook w:firstColumn="1" w:firstRow="1" w:lastColumn="0" w:lastRow="0" w:noHBand="0" w:noVBand="1" w:val="04A0"/>
        <w:tblInd w:w="0" w:type="dxa"/>
        <w:tblCellMar>
          <w:top w:w="105" w:type="dxa"/>
          <w:start w:w="120" w:type="dxa"/>
          <w:bottom w:w="105" w:type="dxa"/>
          <w:end w:w="120" w:type="dxa"/>
        </w:tblCellMar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</w:tblPr>
      <w:tblGrid>
        <w:gridCol w:w="2550"/>
        <w:gridCol w:w="2350"/>
        <w:gridCol w:w="1800"/>
        <w:gridCol w:w="2372"/>
      </w:tblGrid>
      <w:tr>
        <w:trPr>
          <w:trHeight w:val="510" w:hRule="atLeast"/>
          <w:tblHeader w:val="1"/>
          <w:cantSplit w:val="1"/>
        </w:trPr>
        <w:tc>
          <w:tcPr>
            <w:tcW w:type="dxa" w:w="255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19"/>
              </w:rPr>
              <w:t>Предмет</w:t>
            </w:r>
          </w:p>
        </w:tc>
        <w:tc>
          <w:tcPr>
            <w:tcW w:type="dxa" w:w="235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19"/>
              </w:rPr>
              <w:t>Документ или официален източник</w:t>
            </w:r>
          </w:p>
        </w:tc>
        <w:tc>
          <w:tcPr>
            <w:tcW w:type="dxa" w:w="180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19"/>
              </w:rPr>
              <w:t>Номер, дата и обхват</w:t>
            </w:r>
          </w:p>
        </w:tc>
        <w:tc>
          <w:tcPr>
            <w:tcW w:type="dxa" w:w="2372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19"/>
              </w:rPr>
              <w:t>Констатация или нерешен въпрос</w:t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Всички съсобственици и идеални части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Приложим имуществен режим между съпрузи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Участие/съгласие по чл. 24 и чл. 26 от Семейния кодекс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Приложимост и документи по чл. 33 от Закона за собствеността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Семейно жилище и други необходими съгласия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</w:tbl>
    <w:p>
      <w:pPr>
        <w:spacing w:before="0" w:after="60"/>
      </w:pPr>
    </w:p>
    <w:p>
      <w:pPr>
        <w:pStyle w:val="Heading1"/>
        <w:pageBreakBefore w:val="0"/>
      </w:pPr>
      <w:r>
        <w:t>IV. ИМОТЕН РЕГИСТЪР И ВПИСВАНИЯ</w:t>
      </w:r>
    </w:p>
    <w:tbl>
      <w:tblPr>
        <w:tblW w:type="dxa" w:w="9072"/>
        <w:jc w:val="left"/>
        <w:tblLayout w:type="fixed"/>
        <w:tblLook w:firstColumn="1" w:firstRow="1" w:lastColumn="0" w:lastRow="0" w:noHBand="0" w:noVBand="1" w:val="04A0"/>
        <w:tblInd w:w="0" w:type="dxa"/>
        <w:tblCellMar>
          <w:top w:w="105" w:type="dxa"/>
          <w:start w:w="120" w:type="dxa"/>
          <w:bottom w:w="105" w:type="dxa"/>
          <w:end w:w="120" w:type="dxa"/>
        </w:tblCellMar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</w:tblPr>
      <w:tblGrid>
        <w:gridCol w:w="2550"/>
        <w:gridCol w:w="2350"/>
        <w:gridCol w:w="1800"/>
        <w:gridCol w:w="2372"/>
      </w:tblGrid>
      <w:tr>
        <w:trPr>
          <w:trHeight w:val="510" w:hRule="atLeast"/>
          <w:tblHeader w:val="1"/>
          <w:cantSplit w:val="1"/>
        </w:trPr>
        <w:tc>
          <w:tcPr>
            <w:tcW w:type="dxa" w:w="255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19"/>
              </w:rPr>
              <w:t>Предмет</w:t>
            </w:r>
          </w:p>
        </w:tc>
        <w:tc>
          <w:tcPr>
            <w:tcW w:type="dxa" w:w="235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19"/>
              </w:rPr>
              <w:t>Документ или официален източник</w:t>
            </w:r>
          </w:p>
        </w:tc>
        <w:tc>
          <w:tcPr>
            <w:tcW w:type="dxa" w:w="180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19"/>
              </w:rPr>
              <w:t>Номер, дата и обхват</w:t>
            </w:r>
          </w:p>
        </w:tc>
        <w:tc>
          <w:tcPr>
            <w:tcW w:type="dxa" w:w="2372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19"/>
              </w:rPr>
              <w:t>Констатация или нерешен въпрос</w:t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Видове справки и удостоверения от Имотния регистър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Лица, по които е извършено търсенето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Имот или партида, по които е извършено търсенето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Период и начална дата на обхвата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Ипотеки, възбрани, искови молби и права на ползване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Сервитути, договори за наем и други противопоставими актове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Висящи заличавания и документи за освобождаване на тежести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</w:tbl>
    <w:p>
      <w:pPr>
        <w:spacing w:before="0" w:after="60"/>
      </w:pPr>
    </w:p>
    <w:p>
      <w:pPr>
        <w:pStyle w:val="Heading1"/>
        <w:pageBreakBefore w:val="0"/>
      </w:pPr>
      <w:r>
        <w:t>V. КАДАСТЪР И ИДЕНТИЧНОСТ НА ИМОТА</w:t>
      </w:r>
    </w:p>
    <w:tbl>
      <w:tblPr>
        <w:tblW w:type="dxa" w:w="9072"/>
        <w:jc w:val="left"/>
        <w:tblLayout w:type="fixed"/>
        <w:tblLook w:firstColumn="1" w:firstRow="1" w:lastColumn="0" w:lastRow="0" w:noHBand="0" w:noVBand="1" w:val="04A0"/>
        <w:tblInd w:w="0" w:type="dxa"/>
        <w:tblCellMar>
          <w:top w:w="105" w:type="dxa"/>
          <w:start w:w="120" w:type="dxa"/>
          <w:bottom w:w="105" w:type="dxa"/>
          <w:end w:w="120" w:type="dxa"/>
        </w:tblCellMar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</w:tblPr>
      <w:tblGrid>
        <w:gridCol w:w="2550"/>
        <w:gridCol w:w="2350"/>
        <w:gridCol w:w="1800"/>
        <w:gridCol w:w="2372"/>
      </w:tblGrid>
      <w:tr>
        <w:trPr>
          <w:trHeight w:val="510" w:hRule="atLeast"/>
          <w:tblHeader w:val="1"/>
          <w:cantSplit w:val="1"/>
        </w:trPr>
        <w:tc>
          <w:tcPr>
            <w:tcW w:type="dxa" w:w="255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19"/>
              </w:rPr>
              <w:t>Предмет</w:t>
            </w:r>
          </w:p>
        </w:tc>
        <w:tc>
          <w:tcPr>
            <w:tcW w:type="dxa" w:w="235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19"/>
              </w:rPr>
              <w:t>Документ или официален източник</w:t>
            </w:r>
          </w:p>
        </w:tc>
        <w:tc>
          <w:tcPr>
            <w:tcW w:type="dxa" w:w="180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19"/>
              </w:rPr>
              <w:t>Номер, дата и обхват</w:t>
            </w:r>
          </w:p>
        </w:tc>
        <w:tc>
          <w:tcPr>
            <w:tcW w:type="dxa" w:w="2372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19"/>
              </w:rPr>
              <w:t>Констатация или нерешен въпрос</w:t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Актуална схема/скица и дата на издаване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Адрес, идентификатор, площ, етаж и предназначение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Идентичност между кадастър, титул и фактическо състояние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Принадлежности, общи части, земя и граници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Промени на идентификатор, обединяване или разделяне и предходни номера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Схемата или скицата индивидуализира обекта, но сама по себе си не доказва собственост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</w:tbl>
    <w:p>
      <w:pPr>
        <w:spacing w:before="0" w:after="60"/>
      </w:pPr>
    </w:p>
    <w:p>
      <w:pPr>
        <w:pStyle w:val="Heading1"/>
        <w:pageBreakBefore w:val="0"/>
      </w:pPr>
      <w:r>
        <w:t>VI. СТРОИТЕЛНИ ДОКУМЕНТИ И ФАКТИЧЕСКО СЪСТОЯНИЕ</w:t>
      </w:r>
    </w:p>
    <w:tbl>
      <w:tblPr>
        <w:tblW w:type="dxa" w:w="9072"/>
        <w:jc w:val="left"/>
        <w:tblLayout w:type="fixed"/>
        <w:tblLook w:firstColumn="1" w:firstRow="1" w:lastColumn="0" w:lastRow="0" w:noHBand="0" w:noVBand="1" w:val="04A0"/>
        <w:tblInd w:w="0" w:type="dxa"/>
        <w:tblCellMar>
          <w:top w:w="105" w:type="dxa"/>
          <w:start w:w="120" w:type="dxa"/>
          <w:bottom w:w="105" w:type="dxa"/>
          <w:end w:w="120" w:type="dxa"/>
        </w:tblCellMar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</w:tblPr>
      <w:tblGrid>
        <w:gridCol w:w="2550"/>
        <w:gridCol w:w="2350"/>
        <w:gridCol w:w="1800"/>
        <w:gridCol w:w="2372"/>
      </w:tblGrid>
      <w:tr>
        <w:trPr>
          <w:trHeight w:val="510" w:hRule="atLeast"/>
          <w:tblHeader w:val="1"/>
          <w:cantSplit w:val="1"/>
        </w:trPr>
        <w:tc>
          <w:tcPr>
            <w:tcW w:type="dxa" w:w="255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19"/>
              </w:rPr>
              <w:t>Предмет</w:t>
            </w:r>
          </w:p>
        </w:tc>
        <w:tc>
          <w:tcPr>
            <w:tcW w:type="dxa" w:w="235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19"/>
              </w:rPr>
              <w:t>Документ или официален източник</w:t>
            </w:r>
          </w:p>
        </w:tc>
        <w:tc>
          <w:tcPr>
            <w:tcW w:type="dxa" w:w="180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19"/>
              </w:rPr>
              <w:t>Номер, дата и обхват</w:t>
            </w:r>
          </w:p>
        </w:tc>
        <w:tc>
          <w:tcPr>
            <w:tcW w:type="dxa" w:w="2372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19"/>
              </w:rPr>
              <w:t>Констатация или нерешен въпрос</w:t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Строителни книжа и разрешение за ползване/въвеждане в експлоатация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Преустройства, обединявания, приобщавания и промяна на предназначение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Съответствие между одобрени планове и фактическо състояние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Независим технически оглед и установени дефекти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Общи части, покрив, инсталации и планирани ремонти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</w:tbl>
    <w:p>
      <w:pPr>
        <w:spacing w:before="0" w:after="60"/>
      </w:pPr>
    </w:p>
    <w:p>
      <w:pPr>
        <w:pStyle w:val="Heading1"/>
        <w:pageBreakBefore w:val="0"/>
      </w:pPr>
      <w:r>
        <w:t>VII. ВЛАДЕНИЕ, НАЕМИ, ЗАДЪЛЖЕНИЯ И СПОРОВЕ</w:t>
      </w:r>
    </w:p>
    <w:tbl>
      <w:tblPr>
        <w:tblW w:type="dxa" w:w="9072"/>
        <w:jc w:val="left"/>
        <w:tblLayout w:type="fixed"/>
        <w:tblLook w:firstColumn="1" w:firstRow="1" w:lastColumn="0" w:lastRow="0" w:noHBand="0" w:noVBand="1" w:val="04A0"/>
        <w:tblInd w:w="0" w:type="dxa"/>
        <w:tblCellMar>
          <w:top w:w="105" w:type="dxa"/>
          <w:start w:w="120" w:type="dxa"/>
          <w:bottom w:w="105" w:type="dxa"/>
          <w:end w:w="120" w:type="dxa"/>
        </w:tblCellMar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</w:tblPr>
      <w:tblGrid>
        <w:gridCol w:w="2550"/>
        <w:gridCol w:w="2350"/>
        <w:gridCol w:w="1800"/>
        <w:gridCol w:w="2372"/>
      </w:tblGrid>
      <w:tr>
        <w:trPr>
          <w:trHeight w:val="510" w:hRule="atLeast"/>
          <w:tblHeader w:val="1"/>
          <w:cantSplit w:val="1"/>
        </w:trPr>
        <w:tc>
          <w:tcPr>
            <w:tcW w:type="dxa" w:w="255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19"/>
              </w:rPr>
              <w:t>Предмет</w:t>
            </w:r>
          </w:p>
        </w:tc>
        <w:tc>
          <w:tcPr>
            <w:tcW w:type="dxa" w:w="235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19"/>
              </w:rPr>
              <w:t>Документ или официален източник</w:t>
            </w:r>
          </w:p>
        </w:tc>
        <w:tc>
          <w:tcPr>
            <w:tcW w:type="dxa" w:w="180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19"/>
              </w:rPr>
              <w:t>Номер, дата и обхват</w:t>
            </w:r>
          </w:p>
        </w:tc>
        <w:tc>
          <w:tcPr>
            <w:tcW w:type="dxa" w:w="2372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19"/>
              </w:rPr>
              <w:t>Констатация или нерешен въпрос</w:t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Фактически владелци, държатели и обитатели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Договори за наем, право на ползване и срокове за освобождаване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Адресни регистрации, когато са относими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Задължения към етажната собственост и доставчици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Данъчни задължения и данъчна оценка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Съдебни, изпълнителни, реституционни и гранични спорове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</w:tbl>
    <w:p>
      <w:pPr>
        <w:spacing w:before="0" w:after="60"/>
      </w:pPr>
    </w:p>
    <w:p>
      <w:pPr>
        <w:pStyle w:val="Heading1"/>
        <w:pageBreakBefore w:val="0"/>
      </w:pPr>
      <w:r>
        <w:t>VIII. ЦЕНА, ПЛАЩАНЕ, ФИНАНСИРАНЕ И РАЗНОСКИ</w:t>
      </w:r>
    </w:p>
    <w:tbl>
      <w:tblPr>
        <w:tblW w:type="dxa" w:w="9072"/>
        <w:jc w:val="left"/>
        <w:tblLayout w:type="fixed"/>
        <w:tblLook w:firstColumn="1" w:firstRow="1" w:lastColumn="0" w:lastRow="0" w:noHBand="0" w:noVBand="1" w:val="04A0"/>
        <w:tblInd w:w="0" w:type="dxa"/>
        <w:tblCellMar>
          <w:top w:w="105" w:type="dxa"/>
          <w:start w:w="120" w:type="dxa"/>
          <w:bottom w:w="105" w:type="dxa"/>
          <w:end w:w="120" w:type="dxa"/>
        </w:tblCellMar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</w:tblPr>
      <w:tblGrid>
        <w:gridCol w:w="2550"/>
        <w:gridCol w:w="2350"/>
        <w:gridCol w:w="1800"/>
        <w:gridCol w:w="2372"/>
      </w:tblGrid>
      <w:tr>
        <w:trPr>
          <w:trHeight w:val="510" w:hRule="atLeast"/>
          <w:tblHeader w:val="1"/>
          <w:cantSplit w:val="1"/>
        </w:trPr>
        <w:tc>
          <w:tcPr>
            <w:tcW w:type="dxa" w:w="255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19"/>
              </w:rPr>
              <w:t>Предмет</w:t>
            </w:r>
          </w:p>
        </w:tc>
        <w:tc>
          <w:tcPr>
            <w:tcW w:type="dxa" w:w="235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19"/>
              </w:rPr>
              <w:t>Документ или официален източник</w:t>
            </w:r>
          </w:p>
        </w:tc>
        <w:tc>
          <w:tcPr>
            <w:tcW w:type="dxa" w:w="180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19"/>
              </w:rPr>
              <w:t>Номер, дата и обхват</w:t>
            </w:r>
          </w:p>
        </w:tc>
        <w:tc>
          <w:tcPr>
            <w:tcW w:type="dxa" w:w="2372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19"/>
              </w:rPr>
              <w:t>Констатация или нерешен въпрос</w:t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Продажна цена и валута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Платежен график, условия и доказателства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IBAN, титуляр и безопасен платежен механизъм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Правна квалификация на първоначалното плащане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Кредитно финансиране, минимална оценка и срокове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73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Данък, нотариална такса, вписване, банкови и други разноски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</w:tbl>
    <w:p>
      <w:pPr>
        <w:spacing w:before="0" w:after="60"/>
      </w:pPr>
    </w:p>
    <w:p>
      <w:pPr>
        <w:pStyle w:val="Heading1"/>
        <w:pageBreakBefore w:val="0"/>
      </w:pPr>
      <w:r>
        <w:t>IX. ДОГОВОРИ И ПРЕДАВАНЕ</w:t>
      </w:r>
    </w:p>
    <w:tbl>
      <w:tblPr>
        <w:tblW w:type="dxa" w:w="9072"/>
        <w:jc w:val="left"/>
        <w:tblLayout w:type="fixed"/>
        <w:tblLook w:firstColumn="1" w:firstRow="1" w:lastColumn="0" w:lastRow="0" w:noHBand="0" w:noVBand="1" w:val="04A0"/>
        <w:tblInd w:w="0" w:type="dxa"/>
        <w:tblCellMar>
          <w:top w:w="105" w:type="dxa"/>
          <w:start w:w="120" w:type="dxa"/>
          <w:bottom w:w="105" w:type="dxa"/>
          <w:end w:w="120" w:type="dxa"/>
        </w:tblCellMar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</w:tblPr>
      <w:tblGrid>
        <w:gridCol w:w="2550"/>
        <w:gridCol w:w="2350"/>
        <w:gridCol w:w="1800"/>
        <w:gridCol w:w="2372"/>
      </w:tblGrid>
      <w:tr>
        <w:trPr>
          <w:trHeight w:val="510" w:hRule="atLeast"/>
          <w:tblHeader w:val="1"/>
          <w:cantSplit w:val="1"/>
        </w:trPr>
        <w:tc>
          <w:tcPr>
            <w:tcW w:type="dxa" w:w="255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19"/>
              </w:rPr>
              <w:t>Предмет</w:t>
            </w:r>
          </w:p>
        </w:tc>
        <w:tc>
          <w:tcPr>
            <w:tcW w:type="dxa" w:w="235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19"/>
              </w:rPr>
              <w:t>Документ или официален източник</w:t>
            </w:r>
          </w:p>
        </w:tc>
        <w:tc>
          <w:tcPr>
            <w:tcW w:type="dxa" w:w="180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19"/>
              </w:rPr>
              <w:t>Номер, дата и обхват</w:t>
            </w:r>
          </w:p>
        </w:tc>
        <w:tc>
          <w:tcPr>
            <w:tcW w:type="dxa" w:w="2372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19"/>
              </w:rPr>
              <w:t>Констатация или нерешен въпрос</w:t>
            </w:r>
          </w:p>
        </w:tc>
      </w:tr>
      <w:tr>
        <w:trPr>
          <w:trHeight w:val="90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Предварителен договор и приложения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90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Окончателен нотариален акт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90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Условия за заличаване на тежести и плащане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90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Обективно условие за предаване на владението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90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Приемо-предавателен протокол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  <w:tr>
        <w:trPr>
          <w:trHeight w:val="907" w:hRule="atLeast"/>
          <w:cantSplit w:val="1"/>
        </w:trPr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  <w:t>Ключове, показания, документи, вещи и снимков индекс</w:t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18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  <w:tc>
          <w:tcPr>
            <w:tcW w:type="dxa" w:w="23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0"/>
              </w:rPr>
            </w:r>
          </w:p>
        </w:tc>
      </w:tr>
    </w:tbl>
    <w:p>
      <w:pPr>
        <w:spacing w:before="0" w:after="60"/>
      </w:pPr>
    </w:p>
    <w:p>
      <w:pPr>
        <w:pStyle w:val="Heading1"/>
        <w:pageBreakBefore w:val="0"/>
      </w:pPr>
      <w:r>
        <w:t>НЕРЕШЕНИ ВЪПРОСИ И ЛИПСВАЩИ ДОКУМЕНТИ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sectPr w:rsidR="00FC693F" w:rsidRPr="0006063C" w:rsidSect="00034616">
      <w:footerReference w:type="default" r:id="rId9"/>
      <w:pgSz w:w="11906" w:h="16838"/>
      <w:pgMar w:top="1417" w:right="1417" w:bottom="1361" w:left="141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center"/>
    </w:pPr>
    <w:r>
      <w:rPr>
        <w:rFonts w:ascii="Times New Roman" w:hAnsi="Times New Roman" w:eastAsia="Times New Roman" w:cs="Times New Roman"/>
        <w:color w:val="555555"/>
        <w:sz w:val="17"/>
      </w:rPr>
      <w:t xml:space="preserve">IMOTNO.bg · Версия 2.0 · Страница </w:t>
    </w:r>
    <w:fldSimple w:instr="PAGE">
      <w:r>
        <w:rPr>
          <w:rFonts w:ascii="Times New Roman" w:hAnsi="Times New Roman" w:eastAsia="Times New Roman" w:cs="Times New Roman"/>
          <w:color w:val="555555"/>
          <w:sz w:val="17"/>
        </w:rPr>
        <w:t>1</w:t>
      </w:r>
    </w:fldSimple>
    <w:r>
      <w:rPr>
        <w:rFonts w:ascii="Times New Roman" w:hAnsi="Times New Roman" w:eastAsia="Times New Roman" w:cs="Times New Roman"/>
        <w:color w:val="555555"/>
        <w:sz w:val="17"/>
      </w:rPr>
      <w:t xml:space="preserve"> от </w:t>
    </w:r>
    <w:fldSimple w:instr="NUMPAGES">
      <w:r>
        <w:rPr>
          <w:rFonts w:ascii="Times New Roman" w:hAnsi="Times New Roman" w:eastAsia="Times New Roman" w:cs="Times New Roman"/>
          <w:color w:val="555555"/>
          <w:sz w:val="17"/>
        </w:rPr>
        <w:t>1</w:t>
      </w:r>
    </w:fldSimple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70" w:line="259" w:lineRule="auto"/>
      <w:jc w:val="left"/>
    </w:pPr>
    <w:rPr>
      <w:rFonts w:ascii="Times New Roman" w:hAnsi="Times New Roman" w:eastAsia="Times New Roman" w:cs="Times New Roman"/>
      <w:b w:val="0"/>
      <w:i w:val="0"/>
      <w:color w:val="111111"/>
      <w:sz w:val="23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160" w:after="80" w:line="240" w:lineRule="auto"/>
      <w:jc w:val="center"/>
      <w:outlineLvl w:val="0"/>
    </w:pPr>
    <w:rPr>
      <w:rFonts w:ascii="Times New Roman" w:hAnsi="Times New Roman" w:eastAsia="Times New Roman" w:cs="Times New Roman"/>
      <w:b/>
      <w:bCs/>
      <w:i w:val="0"/>
      <w:color w:val="000000"/>
      <w:sz w:val="23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20" w:after="60" w:line="240" w:lineRule="auto"/>
      <w:jc w:val="left"/>
      <w:outlineLvl w:val="1"/>
    </w:pPr>
    <w:rPr>
      <w:rFonts w:ascii="Times New Roman" w:hAnsi="Times New Roman" w:eastAsia="Times New Roman" w:cs="Times New Roman"/>
      <w:b/>
      <w:bCs/>
      <w:i w:val="0"/>
      <w:color w:val="000000"/>
      <w:sz w:val="23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keepLines/>
      <w:widowControl/>
      <w:spacing w:after="80" w:line="240" w:lineRule="auto" w:before="0"/>
      <w:contextualSpacing/>
      <w:jc w:val="center"/>
    </w:pPr>
    <w:rPr>
      <w:rFonts w:ascii="Times New Roman" w:hAnsi="Times New Roman" w:eastAsia="Times New Roman" w:cs="Times New Roman"/>
      <w:b/>
      <w:i w:val="0"/>
      <w:color w:val="000000"/>
      <w:spacing w:val="5"/>
      <w:kern w:val="28"/>
      <w:sz w:val="31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keepLines/>
      <w:widowControl/>
      <w:numPr>
        <w:ilvl w:val="1"/>
      </w:numPr>
      <w:spacing w:before="0" w:after="140" w:line="240" w:lineRule="auto"/>
      <w:jc w:val="center"/>
    </w:pPr>
    <w:rPr>
      <w:rFonts w:ascii="Times New Roman" w:hAnsi="Times New Roman" w:eastAsia="Times New Roman" w:cs="Times New Roman"/>
      <w:b w:val="0"/>
      <w:i w:val="0"/>
      <w:iCs/>
      <w:color w:val="555555"/>
      <w:spacing w:val="15"/>
      <w:sz w:val="21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label">
    <w:name w:val="Form label"/>
    <w:pPr>
      <w:keepNext w:val="0"/>
      <w:keepLines w:val="0"/>
      <w:widowControl/>
      <w:spacing w:before="0" w:after="60" w:line="245" w:lineRule="auto"/>
      <w:jc w:val="left"/>
    </w:pPr>
    <w:rPr>
      <w:rFonts w:ascii="Times New Roman" w:hAnsi="Times New Roman" w:eastAsia="Times New Roman" w:cs="Times New Roman"/>
      <w:b w:val="0"/>
      <w:i w:val="0"/>
      <w:color w:val="111111"/>
      <w:sz w:val="23"/>
      <w:u w:val="no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Контролен лист за предварителна проверка при покупка на недвижим имот</dc:title>
  <dc:subject>Контролен лист без удостоверителен или одобрителен характер</dc:subject>
  <dc:creator>IMOTNO</dc:creator>
  <cp:keywords>недвижим имот; договор; протокол; образец; България</cp:keywords>
  <dc:description>Версия 2.0. Общ образец; не представлява индивидуален правен съвет.</dc:description>
  <cp:lastModifiedBy>IMOTNO</cp:lastModifiedBy>
  <cp:revision>1</cp:revision>
  <dcterms:created xsi:type="dcterms:W3CDTF">2026-08-21T00:00:00Z</dcterms:created>
  <dcterms:modified xsi:type="dcterms:W3CDTF">2026-08-21T00:00:00Z</dcterms:modified>
  <cp:category>Образци за сделки и наем на недвижими имоти</cp:category>
</cp:coreProperties>
</file>